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line="500" w:lineRule="exact"/>
        <w:textAlignment w:val="baseline"/>
        <w:rPr>
          <w:rFonts w:hint="eastAsia" w:ascii="黑体" w:hAnsi="黑体" w:eastAsia="黑体" w:cs="黑体"/>
          <w:color w:val="36363D"/>
          <w:sz w:val="32"/>
          <w:szCs w:val="32"/>
        </w:rPr>
      </w:pPr>
      <w:r>
        <w:rPr>
          <w:rFonts w:hint="eastAsia" w:ascii="黑体" w:hAnsi="黑体" w:eastAsia="黑体" w:cs="黑体"/>
          <w:color w:val="36363D"/>
          <w:sz w:val="32"/>
          <w:szCs w:val="32"/>
        </w:rPr>
        <w:t>附件：</w:t>
      </w:r>
    </w:p>
    <w:p>
      <w:pPr>
        <w:keepNext w:val="0"/>
        <w:keepLines w:val="0"/>
        <w:pageBreakBefore w:val="0"/>
        <w:widowControl w:val="0"/>
        <w:kinsoku/>
        <w:wordWrap/>
        <w:overflowPunct/>
        <w:topLinePunct w:val="0"/>
        <w:autoSpaceDE/>
        <w:bidi w:val="0"/>
        <w:adjustRightInd/>
        <w:snapToGrid/>
        <w:spacing w:line="500" w:lineRule="exact"/>
        <w:textAlignment w:val="baseline"/>
        <w:rPr>
          <w:rFonts w:hint="eastAsia" w:ascii="黑体" w:hAnsi="黑体" w:eastAsia="黑体" w:cs="黑体"/>
          <w:b/>
          <w:bCs/>
          <w:color w:val="36363D"/>
          <w:sz w:val="32"/>
          <w:szCs w:val="32"/>
        </w:rPr>
      </w:pPr>
    </w:p>
    <w:p>
      <w:pPr>
        <w:keepNext w:val="0"/>
        <w:keepLines w:val="0"/>
        <w:pageBreakBefore w:val="0"/>
        <w:widowControl w:val="0"/>
        <w:kinsoku/>
        <w:wordWrap/>
        <w:overflowPunct/>
        <w:topLinePunct w:val="0"/>
        <w:autoSpaceDE/>
        <w:bidi w:val="0"/>
        <w:adjustRightInd/>
        <w:snapToGrid/>
        <w:spacing w:line="500" w:lineRule="exact"/>
        <w:jc w:val="center"/>
        <w:textAlignment w:val="baseline"/>
        <w:rPr>
          <w:rFonts w:hint="eastAsia" w:ascii="方正小标宋简体" w:hAnsi="方正小标宋简体" w:eastAsia="方正小标宋简体" w:cs="方正小标宋简体"/>
          <w:color w:val="36363D"/>
          <w:sz w:val="44"/>
          <w:szCs w:val="44"/>
        </w:rPr>
      </w:pPr>
      <w:r>
        <w:rPr>
          <w:rFonts w:hint="eastAsia" w:ascii="方正小标宋简体" w:hAnsi="方正小标宋简体" w:eastAsia="方正小标宋简体" w:cs="方正小标宋简体"/>
          <w:color w:val="36363D"/>
          <w:sz w:val="44"/>
          <w:szCs w:val="44"/>
        </w:rPr>
        <w:t>福州市引进中小学优秀青年教育人才办法</w:t>
      </w:r>
    </w:p>
    <w:p>
      <w:pPr>
        <w:keepNext w:val="0"/>
        <w:keepLines w:val="0"/>
        <w:pageBreakBefore w:val="0"/>
        <w:widowControl w:val="0"/>
        <w:kinsoku/>
        <w:wordWrap/>
        <w:overflowPunct/>
        <w:topLinePunct w:val="0"/>
        <w:autoSpaceDE/>
        <w:bidi w:val="0"/>
        <w:adjustRightInd/>
        <w:snapToGrid/>
        <w:spacing w:line="500" w:lineRule="exact"/>
        <w:jc w:val="center"/>
        <w:textAlignment w:val="baseline"/>
        <w:rPr>
          <w:rFonts w:hint="eastAsia" w:ascii="方正小标宋简体" w:hAnsi="方正小标宋简体" w:eastAsia="方正小标宋简体" w:cs="方正小标宋简体"/>
          <w:color w:val="36363D"/>
          <w:sz w:val="44"/>
          <w:szCs w:val="44"/>
        </w:rPr>
      </w:pPr>
      <w:r>
        <w:rPr>
          <w:rFonts w:hint="eastAsia" w:ascii="方正小标宋简体" w:hAnsi="方正小标宋简体" w:eastAsia="方正小标宋简体" w:cs="方正小标宋简体"/>
          <w:color w:val="36363D"/>
          <w:sz w:val="44"/>
          <w:szCs w:val="44"/>
        </w:rPr>
        <w:t>补充规定</w:t>
      </w:r>
    </w:p>
    <w:p>
      <w:pPr>
        <w:keepNext w:val="0"/>
        <w:keepLines w:val="0"/>
        <w:pageBreakBefore w:val="0"/>
        <w:widowControl w:val="0"/>
        <w:kinsoku/>
        <w:wordWrap/>
        <w:overflowPunct/>
        <w:topLinePunct w:val="0"/>
        <w:autoSpaceDE/>
        <w:bidi w:val="0"/>
        <w:adjustRightInd/>
        <w:snapToGrid/>
        <w:spacing w:line="500" w:lineRule="exact"/>
        <w:textAlignment w:val="baseline"/>
        <w:rPr>
          <w:rFonts w:ascii="仿宋_GB2312" w:eastAsia="仿宋_GB2312"/>
          <w:color w:val="36363D"/>
          <w:sz w:val="32"/>
          <w:szCs w:val="32"/>
        </w:rPr>
      </w:pPr>
    </w:p>
    <w:p>
      <w:pPr>
        <w:keepNext w:val="0"/>
        <w:keepLines w:val="0"/>
        <w:pageBreakBefore w:val="0"/>
        <w:widowControl w:val="0"/>
        <w:kinsoku/>
        <w:wordWrap/>
        <w:overflowPunct/>
        <w:topLinePunct w:val="0"/>
        <w:autoSpaceDE/>
        <w:bidi w:val="0"/>
        <w:adjustRightInd/>
        <w:snapToGrid/>
        <w:spacing w:line="500" w:lineRule="exact"/>
        <w:ind w:firstLine="640" w:firstLineChars="200"/>
        <w:textAlignment w:val="baseline"/>
        <w:rPr>
          <w:rFonts w:ascii="仿宋_GB2312" w:eastAsia="仿宋_GB2312"/>
          <w:sz w:val="32"/>
          <w:szCs w:val="32"/>
        </w:rPr>
      </w:pPr>
      <w:r>
        <w:rPr>
          <w:rFonts w:hint="eastAsia" w:ascii="仿宋_GB2312" w:eastAsia="仿宋_GB2312"/>
          <w:color w:val="36363D"/>
          <w:sz w:val="32"/>
          <w:szCs w:val="32"/>
        </w:rPr>
        <w:t>为进一步加大优秀青年教育人才引进力度，吸引更多优秀青</w:t>
      </w:r>
      <w:r>
        <w:rPr>
          <w:rFonts w:hint="eastAsia" w:ascii="仿宋_GB2312" w:eastAsia="仿宋_GB2312"/>
          <w:sz w:val="32"/>
          <w:szCs w:val="32"/>
        </w:rPr>
        <w:t>年教育人才来榕任教，福州市教育局、福州市人力资源和社会保障局、福州市财政局对《福州市引进中小学优秀青年教育人才办法》（榕教综</w:t>
      </w:r>
      <w:r>
        <w:rPr>
          <w:rFonts w:hint="eastAsia" w:ascii="方正仿宋简体" w:hAnsi="方正仿宋简体" w:eastAsia="方正仿宋简体" w:cs="方正仿宋简体"/>
          <w:sz w:val="32"/>
          <w:szCs w:val="32"/>
        </w:rPr>
        <w:t>〔</w:t>
      </w:r>
      <w:r>
        <w:rPr>
          <w:rFonts w:ascii="仿宋_GB2312" w:eastAsia="仿宋_GB2312"/>
          <w:sz w:val="32"/>
          <w:szCs w:val="32"/>
        </w:rPr>
        <w:t>2018</w:t>
      </w:r>
      <w:r>
        <w:rPr>
          <w:rFonts w:hint="eastAsia" w:ascii="方正仿宋简体" w:hAnsi="方正仿宋简体" w:eastAsia="方正仿宋简体" w:cs="方正仿宋简体"/>
          <w:sz w:val="32"/>
          <w:szCs w:val="32"/>
        </w:rPr>
        <w:t>〕</w:t>
      </w:r>
      <w:r>
        <w:rPr>
          <w:rFonts w:ascii="仿宋_GB2312" w:eastAsia="仿宋_GB2312"/>
          <w:sz w:val="32"/>
          <w:szCs w:val="32"/>
        </w:rPr>
        <w:t>46</w:t>
      </w:r>
      <w:r>
        <w:rPr>
          <w:rFonts w:hint="eastAsia" w:ascii="仿宋_GB2312" w:eastAsia="仿宋_GB2312"/>
          <w:sz w:val="32"/>
          <w:szCs w:val="32"/>
        </w:rPr>
        <w:t>号）做了进一步完善，现提出如下补充规定：</w:t>
      </w:r>
    </w:p>
    <w:p>
      <w:pPr>
        <w:keepNext w:val="0"/>
        <w:keepLines w:val="0"/>
        <w:pageBreakBefore w:val="0"/>
        <w:widowControl w:val="0"/>
        <w:kinsoku/>
        <w:wordWrap/>
        <w:overflowPunct/>
        <w:topLinePunct w:val="0"/>
        <w:autoSpaceDE/>
        <w:bidi w:val="0"/>
        <w:adjustRightInd/>
        <w:snapToGrid/>
        <w:spacing w:line="500" w:lineRule="exact"/>
        <w:ind w:firstLine="640" w:firstLineChars="200"/>
        <w:textAlignment w:val="baseline"/>
        <w:rPr>
          <w:rFonts w:ascii="黑体" w:hAnsi="黑体" w:eastAsia="黑体"/>
          <w:sz w:val="32"/>
          <w:szCs w:val="32"/>
        </w:rPr>
      </w:pPr>
      <w:r>
        <w:rPr>
          <w:rFonts w:hint="eastAsia" w:ascii="黑体" w:hAnsi="黑体" w:eastAsia="黑体"/>
          <w:sz w:val="32"/>
          <w:szCs w:val="32"/>
        </w:rPr>
        <w:t>一、创新引进博士职称评聘办法</w:t>
      </w:r>
    </w:p>
    <w:p>
      <w:pPr>
        <w:keepNext w:val="0"/>
        <w:keepLines w:val="0"/>
        <w:pageBreakBefore w:val="0"/>
        <w:widowControl w:val="0"/>
        <w:kinsoku/>
        <w:wordWrap/>
        <w:overflowPunct/>
        <w:topLinePunct w:val="0"/>
        <w:autoSpaceDE/>
        <w:autoSpaceDN w:val="0"/>
        <w:bidi w:val="0"/>
        <w:adjustRightInd/>
        <w:snapToGrid/>
        <w:spacing w:line="500" w:lineRule="exact"/>
        <w:ind w:firstLine="640" w:firstLineChars="200"/>
        <w:rPr>
          <w:rFonts w:ascii="仿宋_GB2312" w:eastAsia="仿宋_GB2312"/>
          <w:sz w:val="32"/>
          <w:szCs w:val="32"/>
        </w:rPr>
      </w:pPr>
      <w:r>
        <w:rPr>
          <w:rFonts w:hint="eastAsia" w:ascii="仿宋_GB2312" w:eastAsia="仿宋_GB2312"/>
          <w:sz w:val="32"/>
          <w:szCs w:val="32"/>
        </w:rPr>
        <w:t>对引进的属榕教综</w:t>
      </w:r>
      <w:r>
        <w:rPr>
          <w:rFonts w:hint="eastAsia" w:ascii="方正仿宋简体" w:hAnsi="方正仿宋简体" w:eastAsia="方正仿宋简体" w:cs="方正仿宋简体"/>
          <w:sz w:val="32"/>
          <w:szCs w:val="32"/>
        </w:rPr>
        <w:t>〔</w:t>
      </w:r>
      <w:r>
        <w:rPr>
          <w:rFonts w:ascii="仿宋_GB2312" w:eastAsia="仿宋_GB2312"/>
          <w:sz w:val="32"/>
          <w:szCs w:val="32"/>
        </w:rPr>
        <w:t>2018</w:t>
      </w:r>
      <w:r>
        <w:rPr>
          <w:rFonts w:hint="eastAsia" w:ascii="方正仿宋简体" w:hAnsi="方正仿宋简体" w:eastAsia="方正仿宋简体" w:cs="方正仿宋简体"/>
          <w:sz w:val="32"/>
          <w:szCs w:val="32"/>
        </w:rPr>
        <w:t>〕</w:t>
      </w:r>
      <w:r>
        <w:rPr>
          <w:rFonts w:ascii="仿宋_GB2312" w:eastAsia="仿宋_GB2312"/>
          <w:sz w:val="32"/>
          <w:szCs w:val="32"/>
        </w:rPr>
        <w:t>46</w:t>
      </w:r>
      <w:r>
        <w:rPr>
          <w:rFonts w:hint="eastAsia" w:ascii="仿宋_GB2312" w:eastAsia="仿宋_GB2312"/>
          <w:sz w:val="32"/>
          <w:szCs w:val="32"/>
        </w:rPr>
        <w:t>号规定的第</w:t>
      </w:r>
      <w:r>
        <w:rPr>
          <w:rFonts w:ascii="仿宋_GB2312" w:eastAsia="仿宋_GB2312"/>
          <w:sz w:val="32"/>
          <w:szCs w:val="32"/>
        </w:rPr>
        <w:t>3</w:t>
      </w:r>
      <w:r>
        <w:rPr>
          <w:rFonts w:hint="eastAsia" w:ascii="仿宋_GB2312" w:eastAsia="仿宋_GB2312"/>
          <w:sz w:val="32"/>
          <w:szCs w:val="32"/>
        </w:rPr>
        <w:t>类优秀青年教育人才（含</w:t>
      </w:r>
      <w:r>
        <w:rPr>
          <w:rFonts w:ascii="仿宋_GB2312" w:eastAsia="仿宋_GB2312"/>
          <w:sz w:val="32"/>
          <w:szCs w:val="32"/>
        </w:rPr>
        <w:t>2019</w:t>
      </w:r>
      <w:r>
        <w:rPr>
          <w:rFonts w:hint="eastAsia" w:ascii="仿宋_GB2312" w:eastAsia="仿宋_GB2312"/>
          <w:sz w:val="32"/>
          <w:szCs w:val="32"/>
        </w:rPr>
        <w:t>年以前引进的此类人才），在职称评聘上开设“绿色通道”，不受学校中、高级专业技术岗位比例限制，试用期满经学校考核合格的，可确认并聘任为一级教师；在一级教师岗位工作满两年，且每年年度考核结果为称职及以上的，参加福州市教育局组织的高级教师职称业务能力考核合格后，可确认并聘任为高级教师。</w:t>
      </w:r>
    </w:p>
    <w:p>
      <w:pPr>
        <w:keepNext w:val="0"/>
        <w:keepLines w:val="0"/>
        <w:pageBreakBefore w:val="0"/>
        <w:widowControl w:val="0"/>
        <w:kinsoku/>
        <w:wordWrap/>
        <w:overflowPunct/>
        <w:topLinePunct w:val="0"/>
        <w:autoSpaceDE/>
        <w:bidi w:val="0"/>
        <w:adjustRightInd/>
        <w:snapToGrid/>
        <w:spacing w:line="500" w:lineRule="exact"/>
        <w:ind w:firstLine="640" w:firstLineChars="200"/>
        <w:textAlignment w:val="baseline"/>
        <w:rPr>
          <w:rFonts w:ascii="黑体" w:hAnsi="黑体" w:eastAsia="黑体"/>
          <w:sz w:val="32"/>
          <w:szCs w:val="32"/>
        </w:rPr>
      </w:pPr>
      <w:r>
        <w:rPr>
          <w:rFonts w:hint="eastAsia" w:ascii="黑体" w:hAnsi="黑体" w:eastAsia="黑体"/>
          <w:sz w:val="32"/>
          <w:szCs w:val="32"/>
        </w:rPr>
        <w:t>二、加大引进优秀青年教育人才相关补助的力度</w:t>
      </w:r>
    </w:p>
    <w:p>
      <w:pPr>
        <w:keepNext w:val="0"/>
        <w:keepLines w:val="0"/>
        <w:pageBreakBefore w:val="0"/>
        <w:widowControl w:val="0"/>
        <w:kinsoku/>
        <w:wordWrap/>
        <w:overflowPunct/>
        <w:topLinePunct w:val="0"/>
        <w:autoSpaceDE/>
        <w:bidi w:val="0"/>
        <w:adjustRightInd/>
        <w:snapToGrid/>
        <w:spacing w:line="500" w:lineRule="exact"/>
        <w:ind w:firstLine="600"/>
        <w:rPr>
          <w:rFonts w:ascii="仿宋_GB2312" w:eastAsia="仿宋_GB2312"/>
          <w:sz w:val="32"/>
          <w:szCs w:val="32"/>
        </w:rPr>
      </w:pPr>
      <w:r>
        <w:rPr>
          <w:rFonts w:hint="eastAsia" w:ascii="仿宋_GB2312" w:eastAsia="仿宋_GB2312"/>
          <w:sz w:val="32"/>
          <w:szCs w:val="32"/>
        </w:rPr>
        <w:t>对引进的优秀青年教育人才在</w:t>
      </w:r>
      <w:r>
        <w:rPr>
          <w:rFonts w:hint="eastAsia" w:ascii="仿宋_GB2312" w:hAnsi="仿宋_GB2312" w:eastAsia="仿宋_GB2312"/>
          <w:sz w:val="32"/>
        </w:rPr>
        <w:t>六年</w:t>
      </w:r>
      <w:r>
        <w:rPr>
          <w:rFonts w:hint="eastAsia" w:ascii="仿宋_GB2312" w:eastAsia="仿宋_GB2312"/>
          <w:sz w:val="32"/>
          <w:szCs w:val="32"/>
        </w:rPr>
        <w:t>服务期内</w:t>
      </w:r>
      <w:r>
        <w:rPr>
          <w:rFonts w:hint="eastAsia" w:ascii="仿宋_GB2312" w:hAnsi="仿宋_GB2312" w:eastAsia="仿宋_GB2312"/>
          <w:sz w:val="32"/>
        </w:rPr>
        <w:t>(含试用期一年)</w:t>
      </w:r>
      <w:r>
        <w:rPr>
          <w:rFonts w:hint="eastAsia" w:ascii="仿宋_GB2312" w:eastAsia="仿宋_GB2312"/>
          <w:sz w:val="32"/>
          <w:szCs w:val="32"/>
        </w:rPr>
        <w:t>予以发放相应人才配套补助。服务期内年度考核结果为称职以下等次或中途解约、解聘的，应退回已发放的人才配套补助。</w:t>
      </w:r>
    </w:p>
    <w:p>
      <w:pPr>
        <w:keepNext w:val="0"/>
        <w:keepLines w:val="0"/>
        <w:pageBreakBefore w:val="0"/>
        <w:widowControl w:val="0"/>
        <w:kinsoku/>
        <w:wordWrap/>
        <w:overflowPunct/>
        <w:topLinePunct w:val="0"/>
        <w:autoSpaceDE/>
        <w:bidi w:val="0"/>
        <w:adjustRightInd/>
        <w:snapToGrid/>
        <w:spacing w:line="500" w:lineRule="exact"/>
        <w:ind w:firstLine="6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对第</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类优秀青年教育人才，在原有奖励政策基础上，试用期满合格后每人每年发给</w:t>
      </w:r>
      <w:r>
        <w:rPr>
          <w:rFonts w:ascii="仿宋_GB2312" w:eastAsia="仿宋_GB2312"/>
          <w:sz w:val="32"/>
          <w:szCs w:val="32"/>
        </w:rPr>
        <w:t>30000</w:t>
      </w:r>
      <w:r>
        <w:rPr>
          <w:rFonts w:hint="eastAsia" w:ascii="仿宋_GB2312" w:eastAsia="仿宋_GB2312"/>
          <w:sz w:val="32"/>
          <w:szCs w:val="32"/>
        </w:rPr>
        <w:t>元人才配套补助。</w:t>
      </w:r>
    </w:p>
    <w:p>
      <w:pPr>
        <w:keepNext w:val="0"/>
        <w:keepLines w:val="0"/>
        <w:pageBreakBefore w:val="0"/>
        <w:widowControl w:val="0"/>
        <w:kinsoku/>
        <w:wordWrap/>
        <w:overflowPunct/>
        <w:topLinePunct w:val="0"/>
        <w:autoSpaceDE/>
        <w:bidi w:val="0"/>
        <w:adjustRightInd/>
        <w:snapToGrid/>
        <w:spacing w:line="500" w:lineRule="exact"/>
        <w:ind w:firstLine="6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对第</w:t>
      </w:r>
      <w:r>
        <w:rPr>
          <w:rFonts w:ascii="仿宋_GB2312" w:eastAsia="仿宋_GB2312"/>
          <w:sz w:val="32"/>
          <w:szCs w:val="32"/>
        </w:rPr>
        <w:t>3</w:t>
      </w:r>
      <w:r>
        <w:rPr>
          <w:rFonts w:hint="eastAsia" w:ascii="仿宋_GB2312" w:eastAsia="仿宋_GB2312"/>
          <w:sz w:val="32"/>
          <w:szCs w:val="32"/>
        </w:rPr>
        <w:t>类优秀青年教育人才，将原有</w:t>
      </w:r>
      <w:r>
        <w:rPr>
          <w:rFonts w:ascii="仿宋_GB2312" w:eastAsia="仿宋_GB2312"/>
          <w:sz w:val="32"/>
          <w:szCs w:val="32"/>
        </w:rPr>
        <w:t>10</w:t>
      </w:r>
      <w:r>
        <w:rPr>
          <w:rFonts w:hint="eastAsia" w:ascii="仿宋_GB2312" w:eastAsia="仿宋_GB2312"/>
          <w:sz w:val="32"/>
          <w:szCs w:val="32"/>
        </w:rPr>
        <w:t>万元奖励金调整为</w:t>
      </w:r>
      <w:r>
        <w:rPr>
          <w:rFonts w:ascii="仿宋_GB2312" w:hAnsi="仿宋_GB2312" w:eastAsia="仿宋_GB2312"/>
          <w:sz w:val="32"/>
        </w:rPr>
        <w:t>30</w:t>
      </w:r>
      <w:r>
        <w:rPr>
          <w:rFonts w:hint="eastAsia" w:ascii="仿宋_GB2312" w:hAnsi="仿宋_GB2312" w:eastAsia="仿宋_GB2312"/>
          <w:sz w:val="32"/>
        </w:rPr>
        <w:t>万元人才配套补助，试用期满合格后分5年等额发放。</w:t>
      </w:r>
    </w:p>
    <w:p>
      <w:pPr>
        <w:keepNext w:val="0"/>
        <w:keepLines w:val="0"/>
        <w:pageBreakBefore w:val="0"/>
        <w:widowControl w:val="0"/>
        <w:kinsoku/>
        <w:wordWrap/>
        <w:overflowPunct/>
        <w:topLinePunct w:val="0"/>
        <w:autoSpaceDE/>
        <w:bidi w:val="0"/>
        <w:adjustRightInd/>
        <w:snapToGrid/>
        <w:spacing w:line="500" w:lineRule="exact"/>
        <w:ind w:firstLine="600"/>
        <w:rPr>
          <w:rFonts w:hint="eastAsia"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对第</w:t>
      </w:r>
      <w:r>
        <w:rPr>
          <w:rFonts w:ascii="仿宋_GB2312" w:eastAsia="仿宋_GB2312"/>
          <w:color w:val="auto"/>
          <w:sz w:val="32"/>
          <w:szCs w:val="32"/>
        </w:rPr>
        <w:t>4</w:t>
      </w:r>
      <w:r>
        <w:rPr>
          <w:rFonts w:hint="eastAsia" w:ascii="仿宋_GB2312" w:eastAsia="仿宋_GB2312"/>
          <w:color w:val="auto"/>
          <w:sz w:val="32"/>
          <w:szCs w:val="32"/>
        </w:rPr>
        <w:t>、</w:t>
      </w:r>
      <w:r>
        <w:rPr>
          <w:rFonts w:ascii="仿宋_GB2312" w:eastAsia="仿宋_GB2312"/>
          <w:color w:val="auto"/>
          <w:sz w:val="32"/>
          <w:szCs w:val="32"/>
        </w:rPr>
        <w:t>5</w:t>
      </w:r>
      <w:r>
        <w:rPr>
          <w:rFonts w:hint="eastAsia" w:ascii="仿宋_GB2312" w:eastAsia="仿宋_GB2312"/>
          <w:color w:val="auto"/>
          <w:sz w:val="32"/>
          <w:szCs w:val="32"/>
        </w:rPr>
        <w:t>类优秀青年教育人才，在原有奖励政策基础上，试用期满合格后每人每年发给</w:t>
      </w:r>
      <w:r>
        <w:rPr>
          <w:rFonts w:ascii="仿宋_GB2312" w:eastAsia="仿宋_GB2312"/>
          <w:color w:val="auto"/>
          <w:sz w:val="32"/>
          <w:szCs w:val="32"/>
        </w:rPr>
        <w:t>20000</w:t>
      </w:r>
      <w:r>
        <w:rPr>
          <w:rFonts w:hint="eastAsia" w:ascii="仿宋_GB2312" w:eastAsia="仿宋_GB2312"/>
          <w:color w:val="auto"/>
          <w:sz w:val="32"/>
          <w:szCs w:val="32"/>
        </w:rPr>
        <w:t>元人才配套补助。</w:t>
      </w:r>
    </w:p>
    <w:p>
      <w:pPr>
        <w:keepNext w:val="0"/>
        <w:keepLines w:val="0"/>
        <w:pageBreakBefore w:val="0"/>
        <w:widowControl w:val="0"/>
        <w:kinsoku/>
        <w:wordWrap/>
        <w:overflowPunct/>
        <w:topLinePunct w:val="0"/>
        <w:autoSpaceDE/>
        <w:bidi w:val="0"/>
        <w:adjustRightInd/>
        <w:snapToGrid/>
        <w:spacing w:line="500" w:lineRule="exact"/>
        <w:ind w:firstLine="600"/>
        <w:rPr>
          <w:rFonts w:ascii="仿宋_GB2312" w:eastAsia="仿宋_GB2312"/>
          <w:color w:val="auto"/>
          <w:sz w:val="32"/>
          <w:szCs w:val="32"/>
        </w:rPr>
      </w:pPr>
      <w:r>
        <w:rPr>
          <w:rFonts w:hint="eastAsia" w:ascii="仿宋_GB2312" w:eastAsia="仿宋_GB2312"/>
          <w:color w:val="auto"/>
          <w:sz w:val="32"/>
          <w:szCs w:val="32"/>
        </w:rPr>
        <w:t>4.境外著名大学、中国科学院大学、国家级研究机构全日制硕士研究生（年龄在</w:t>
      </w:r>
      <w:r>
        <w:rPr>
          <w:rFonts w:ascii="仿宋_GB2312" w:eastAsia="仿宋_GB2312"/>
          <w:color w:val="auto"/>
          <w:sz w:val="32"/>
          <w:szCs w:val="32"/>
        </w:rPr>
        <w:t>35</w:t>
      </w:r>
      <w:r>
        <w:rPr>
          <w:rFonts w:hint="eastAsia" w:ascii="仿宋_GB2312" w:eastAsia="仿宋_GB2312"/>
          <w:color w:val="auto"/>
          <w:sz w:val="32"/>
          <w:szCs w:val="32"/>
        </w:rPr>
        <w:t>周岁及以下）可享受与第</w:t>
      </w:r>
      <w:r>
        <w:rPr>
          <w:rFonts w:ascii="仿宋_GB2312" w:eastAsia="仿宋_GB2312"/>
          <w:color w:val="auto"/>
          <w:sz w:val="32"/>
          <w:szCs w:val="32"/>
        </w:rPr>
        <w:t>4</w:t>
      </w:r>
      <w:r>
        <w:rPr>
          <w:rFonts w:hint="eastAsia" w:ascii="仿宋_GB2312" w:eastAsia="仿宋_GB2312"/>
          <w:color w:val="auto"/>
          <w:sz w:val="32"/>
          <w:szCs w:val="32"/>
        </w:rPr>
        <w:t>类优秀青年教育人才同等待遇。</w:t>
      </w:r>
    </w:p>
    <w:p>
      <w:pPr>
        <w:keepNext w:val="0"/>
        <w:keepLines w:val="0"/>
        <w:pageBreakBefore w:val="0"/>
        <w:widowControl w:val="0"/>
        <w:kinsoku/>
        <w:wordWrap/>
        <w:overflowPunct/>
        <w:topLinePunct w:val="0"/>
        <w:autoSpaceDE/>
        <w:bidi w:val="0"/>
        <w:adjustRightInd/>
        <w:snapToGrid/>
        <w:spacing w:line="500" w:lineRule="exact"/>
        <w:ind w:firstLine="6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对其他硕士研究生（年龄在</w:t>
      </w:r>
      <w:r>
        <w:rPr>
          <w:rFonts w:ascii="仿宋_GB2312" w:eastAsia="仿宋_GB2312"/>
          <w:sz w:val="32"/>
          <w:szCs w:val="32"/>
        </w:rPr>
        <w:t>35</w:t>
      </w:r>
      <w:r>
        <w:rPr>
          <w:rFonts w:hint="eastAsia" w:ascii="仿宋_GB2312" w:eastAsia="仿宋_GB2312"/>
          <w:sz w:val="32"/>
          <w:szCs w:val="32"/>
        </w:rPr>
        <w:t>周岁及以下）、国家“双一流（世界一流大学和一流学科）建设”高校、境外著名大学、中国科学院大学、国家级研究机构全日制本科毕业生（年龄在</w:t>
      </w:r>
      <w:r>
        <w:rPr>
          <w:rFonts w:ascii="仿宋_GB2312" w:eastAsia="仿宋_GB2312"/>
          <w:sz w:val="32"/>
          <w:szCs w:val="32"/>
        </w:rPr>
        <w:t>30</w:t>
      </w:r>
      <w:r>
        <w:rPr>
          <w:rFonts w:hint="eastAsia" w:ascii="仿宋_GB2312" w:eastAsia="仿宋_GB2312"/>
          <w:sz w:val="32"/>
          <w:szCs w:val="32"/>
        </w:rPr>
        <w:t>周岁及以下），试用期满合格后每人一次性发给</w:t>
      </w:r>
      <w:r>
        <w:rPr>
          <w:rFonts w:ascii="仿宋_GB2312" w:eastAsia="仿宋_GB2312"/>
          <w:sz w:val="32"/>
          <w:szCs w:val="32"/>
        </w:rPr>
        <w:t>10000</w:t>
      </w:r>
      <w:r>
        <w:rPr>
          <w:rFonts w:hint="eastAsia" w:ascii="仿宋_GB2312" w:eastAsia="仿宋_GB2312"/>
          <w:sz w:val="32"/>
          <w:szCs w:val="32"/>
        </w:rPr>
        <w:t>元人才配套补助。</w:t>
      </w:r>
    </w:p>
    <w:p>
      <w:pPr>
        <w:keepNext w:val="0"/>
        <w:keepLines w:val="0"/>
        <w:pageBreakBefore w:val="0"/>
        <w:widowControl w:val="0"/>
        <w:kinsoku/>
        <w:wordWrap/>
        <w:overflowPunct/>
        <w:topLinePunct w:val="0"/>
        <w:autoSpaceDE/>
        <w:bidi w:val="0"/>
        <w:adjustRightInd/>
        <w:snapToGrid/>
        <w:spacing w:line="500" w:lineRule="exact"/>
        <w:ind w:firstLine="640" w:firstLineChars="200"/>
        <w:textAlignment w:val="baseline"/>
        <w:rPr>
          <w:rFonts w:ascii="黑体" w:hAnsi="黑体" w:eastAsia="黑体"/>
          <w:sz w:val="32"/>
          <w:szCs w:val="32"/>
        </w:rPr>
      </w:pPr>
      <w:r>
        <w:rPr>
          <w:rFonts w:hint="eastAsia" w:ascii="黑体" w:hAnsi="黑体" w:eastAsia="黑体"/>
          <w:sz w:val="32"/>
          <w:szCs w:val="32"/>
        </w:rPr>
        <w:t>三、其它</w:t>
      </w:r>
    </w:p>
    <w:p>
      <w:pPr>
        <w:keepNext w:val="0"/>
        <w:keepLines w:val="0"/>
        <w:pageBreakBefore w:val="0"/>
        <w:widowControl w:val="0"/>
        <w:kinsoku/>
        <w:wordWrap/>
        <w:overflowPunct/>
        <w:topLinePunct w:val="0"/>
        <w:autoSpaceDE/>
        <w:bidi w:val="0"/>
        <w:adjustRightInd/>
        <w:snapToGrid/>
        <w:spacing w:line="500" w:lineRule="exact"/>
        <w:ind w:firstLine="6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榕教综</w:t>
      </w:r>
      <w:r>
        <w:rPr>
          <w:rFonts w:hint="eastAsia" w:ascii="方正仿宋简体" w:hAnsi="方正仿宋简体" w:eastAsia="方正仿宋简体" w:cs="方正仿宋简体"/>
          <w:sz w:val="32"/>
          <w:szCs w:val="32"/>
        </w:rPr>
        <w:t>〔</w:t>
      </w:r>
      <w:r>
        <w:rPr>
          <w:rFonts w:ascii="仿宋_GB2312" w:eastAsia="仿宋_GB2312"/>
          <w:sz w:val="32"/>
          <w:szCs w:val="32"/>
        </w:rPr>
        <w:t>2018</w:t>
      </w:r>
      <w:r>
        <w:rPr>
          <w:rFonts w:hint="eastAsia" w:ascii="方正仿宋简体" w:hAnsi="方正仿宋简体" w:eastAsia="方正仿宋简体" w:cs="方正仿宋简体"/>
          <w:sz w:val="32"/>
          <w:szCs w:val="32"/>
        </w:rPr>
        <w:t>〕</w:t>
      </w:r>
      <w:r>
        <w:rPr>
          <w:rFonts w:ascii="仿宋_GB2312" w:eastAsia="仿宋_GB2312"/>
          <w:sz w:val="32"/>
          <w:szCs w:val="32"/>
        </w:rPr>
        <w:t>46</w:t>
      </w:r>
      <w:r>
        <w:rPr>
          <w:rFonts w:hint="eastAsia" w:ascii="仿宋_GB2312" w:eastAsia="仿宋_GB2312"/>
          <w:sz w:val="32"/>
          <w:szCs w:val="32"/>
        </w:rPr>
        <w:t>号及本补充规定均适用于福州市教师进修院校、中小学、</w:t>
      </w:r>
      <w:r>
        <w:rPr>
          <w:rFonts w:hint="eastAsia" w:ascii="仿宋_GB2312" w:eastAsia="仿宋_GB2312"/>
          <w:sz w:val="32"/>
          <w:szCs w:val="32"/>
          <w:lang w:eastAsia="zh-CN"/>
        </w:rPr>
        <w:t>中职</w:t>
      </w:r>
      <w:r>
        <w:rPr>
          <w:rFonts w:hint="eastAsia" w:ascii="仿宋_GB2312" w:eastAsia="仿宋_GB2312"/>
          <w:sz w:val="32"/>
          <w:szCs w:val="32"/>
        </w:rPr>
        <w:t>学校、幼儿园及特教学校。</w:t>
      </w:r>
    </w:p>
    <w:p>
      <w:pPr>
        <w:keepNext w:val="0"/>
        <w:keepLines w:val="0"/>
        <w:pageBreakBefore w:val="0"/>
        <w:widowControl w:val="0"/>
        <w:kinsoku/>
        <w:wordWrap/>
        <w:overflowPunct/>
        <w:topLinePunct w:val="0"/>
        <w:autoSpaceDE/>
        <w:bidi w:val="0"/>
        <w:adjustRightInd/>
        <w:snapToGrid/>
        <w:spacing w:line="500" w:lineRule="exact"/>
        <w:ind w:firstLine="6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榕教综</w:t>
      </w:r>
      <w:r>
        <w:rPr>
          <w:rFonts w:hint="eastAsia" w:ascii="方正仿宋简体" w:hAnsi="方正仿宋简体" w:eastAsia="方正仿宋简体" w:cs="方正仿宋简体"/>
          <w:sz w:val="32"/>
          <w:szCs w:val="32"/>
        </w:rPr>
        <w:t>〔</w:t>
      </w:r>
      <w:r>
        <w:rPr>
          <w:rFonts w:ascii="仿宋_GB2312" w:eastAsia="仿宋_GB2312"/>
          <w:sz w:val="32"/>
          <w:szCs w:val="32"/>
        </w:rPr>
        <w:t>2018</w:t>
      </w:r>
      <w:r>
        <w:rPr>
          <w:rFonts w:hint="eastAsia" w:ascii="方正仿宋简体" w:hAnsi="方正仿宋简体" w:eastAsia="方正仿宋简体" w:cs="方正仿宋简体"/>
          <w:sz w:val="32"/>
          <w:szCs w:val="32"/>
        </w:rPr>
        <w:t>〕</w:t>
      </w:r>
      <w:r>
        <w:rPr>
          <w:rFonts w:ascii="仿宋_GB2312" w:eastAsia="仿宋_GB2312"/>
          <w:sz w:val="32"/>
          <w:szCs w:val="32"/>
        </w:rPr>
        <w:t>46</w:t>
      </w:r>
      <w:r>
        <w:rPr>
          <w:rFonts w:hint="eastAsia" w:ascii="仿宋_GB2312" w:eastAsia="仿宋_GB2312"/>
          <w:sz w:val="32"/>
          <w:szCs w:val="32"/>
        </w:rPr>
        <w:t>号中规定的第</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类人才专指从福州市外引进的相应人才。</w:t>
      </w:r>
    </w:p>
    <w:p>
      <w:pPr>
        <w:keepNext w:val="0"/>
        <w:keepLines w:val="0"/>
        <w:pageBreakBefore w:val="0"/>
        <w:widowControl w:val="0"/>
        <w:kinsoku/>
        <w:wordWrap/>
        <w:overflowPunct/>
        <w:topLinePunct w:val="0"/>
        <w:autoSpaceDE/>
        <w:bidi w:val="0"/>
        <w:adjustRightInd/>
        <w:snapToGrid/>
        <w:spacing w:line="500" w:lineRule="exact"/>
        <w:ind w:firstLine="6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本补充规定执行后，原对硕士及以上研究生、教育部直属重点师范大学应届普通全日制本科公费师范生每人一次性发给</w:t>
      </w:r>
      <w:r>
        <w:rPr>
          <w:rFonts w:ascii="仿宋_GB2312" w:eastAsia="仿宋_GB2312"/>
          <w:sz w:val="32"/>
          <w:szCs w:val="32"/>
        </w:rPr>
        <w:t>3000</w:t>
      </w:r>
      <w:r>
        <w:rPr>
          <w:rFonts w:hint="eastAsia" w:ascii="仿宋_GB2312" w:eastAsia="仿宋_GB2312"/>
          <w:sz w:val="32"/>
          <w:szCs w:val="32"/>
        </w:rPr>
        <w:t>元安家补助的政策停止执行。</w:t>
      </w:r>
    </w:p>
    <w:p>
      <w:pPr>
        <w:keepNext w:val="0"/>
        <w:keepLines w:val="0"/>
        <w:pageBreakBefore w:val="0"/>
        <w:widowControl w:val="0"/>
        <w:kinsoku/>
        <w:wordWrap/>
        <w:overflowPunct/>
        <w:topLinePunct w:val="0"/>
        <w:autoSpaceDE/>
        <w:autoSpaceDN w:val="0"/>
        <w:bidi w:val="0"/>
        <w:adjustRightInd/>
        <w:snapToGrid/>
        <w:spacing w:line="50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引进的优秀青年教育人才符合《福建省引进高层次人才评价认定办法》、《福州市引进高层次优秀人才办法》、《关于福州市开展</w:t>
      </w:r>
      <w:r>
        <w:rPr>
          <w:rFonts w:ascii="仿宋_GB2312" w:eastAsia="仿宋_GB2312"/>
          <w:sz w:val="32"/>
          <w:szCs w:val="32"/>
        </w:rPr>
        <w:t>2018</w:t>
      </w:r>
      <w:r>
        <w:rPr>
          <w:rFonts w:hint="eastAsia" w:ascii="仿宋_GB2312" w:eastAsia="仿宋_GB2312"/>
          <w:sz w:val="32"/>
          <w:szCs w:val="32"/>
        </w:rPr>
        <w:t>年引进优秀博士工作的通知》等省市人才政策，经认定后按照“就高从优不重复”的原则兑现相关待遇。</w:t>
      </w:r>
    </w:p>
    <w:p>
      <w:pPr>
        <w:keepNext w:val="0"/>
        <w:keepLines w:val="0"/>
        <w:pageBreakBefore w:val="0"/>
        <w:widowControl w:val="0"/>
        <w:kinsoku/>
        <w:wordWrap/>
        <w:overflowPunct/>
        <w:topLinePunct w:val="0"/>
        <w:autoSpaceDE/>
        <w:bidi w:val="0"/>
        <w:adjustRightInd/>
        <w:snapToGrid/>
        <w:spacing w:line="500" w:lineRule="exact"/>
        <w:ind w:firstLine="6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对引进的优秀青年教育人才发放人才配套补助，按学校隶属关系由同级教育部门人才经费专项列支。</w:t>
      </w:r>
    </w:p>
    <w:p>
      <w:pPr>
        <w:keepNext w:val="0"/>
        <w:keepLines w:val="0"/>
        <w:pageBreakBefore w:val="0"/>
        <w:widowControl w:val="0"/>
        <w:kinsoku/>
        <w:wordWrap/>
        <w:overflowPunct/>
        <w:topLinePunct w:val="0"/>
        <w:autoSpaceDE/>
        <w:bidi w:val="0"/>
        <w:adjustRightInd/>
        <w:snapToGrid/>
        <w:spacing w:line="500" w:lineRule="exact"/>
        <w:ind w:firstLine="600"/>
        <w:rPr>
          <w:rFonts w:ascii="仿宋_GB2312" w:eastAsia="仿宋_GB2312"/>
          <w:kern w:val="0"/>
          <w:sz w:val="32"/>
          <w:szCs w:val="32"/>
          <w:lang w:val="zh-CN"/>
        </w:rPr>
      </w:pPr>
      <w:r>
        <w:rPr>
          <w:rFonts w:hint="eastAsia" w:ascii="仿宋_GB2312" w:eastAsia="仿宋_GB2312"/>
          <w:kern w:val="0"/>
          <w:sz w:val="32"/>
          <w:szCs w:val="32"/>
          <w:lang w:val="zh-CN"/>
        </w:rPr>
        <w:t>6.榕教综</w:t>
      </w:r>
      <w:r>
        <w:rPr>
          <w:rFonts w:hint="eastAsia" w:ascii="方正仿宋简体" w:hAnsi="方正仿宋简体" w:eastAsia="方正仿宋简体" w:cs="方正仿宋简体"/>
          <w:kern w:val="0"/>
          <w:sz w:val="32"/>
          <w:szCs w:val="32"/>
          <w:lang w:val="zh-CN"/>
        </w:rPr>
        <w:t>〔</w:t>
      </w:r>
      <w:r>
        <w:rPr>
          <w:rFonts w:ascii="仿宋_GB2312" w:eastAsia="仿宋_GB2312"/>
          <w:kern w:val="0"/>
          <w:sz w:val="32"/>
          <w:szCs w:val="32"/>
          <w:lang w:val="zh-CN"/>
        </w:rPr>
        <w:t>2018</w:t>
      </w:r>
      <w:r>
        <w:rPr>
          <w:rFonts w:hint="eastAsia" w:ascii="方正仿宋简体" w:hAnsi="方正仿宋简体" w:eastAsia="方正仿宋简体" w:cs="方正仿宋简体"/>
          <w:kern w:val="0"/>
          <w:sz w:val="32"/>
          <w:szCs w:val="32"/>
          <w:lang w:val="zh-CN"/>
        </w:rPr>
        <w:t>〕</w:t>
      </w:r>
      <w:r>
        <w:rPr>
          <w:rFonts w:ascii="仿宋_GB2312" w:eastAsia="仿宋_GB2312"/>
          <w:kern w:val="0"/>
          <w:sz w:val="32"/>
          <w:szCs w:val="32"/>
          <w:lang w:val="zh-CN"/>
        </w:rPr>
        <w:t>46</w:t>
      </w:r>
      <w:r>
        <w:rPr>
          <w:rFonts w:hint="eastAsia" w:ascii="仿宋_GB2312" w:eastAsia="仿宋_GB2312"/>
          <w:kern w:val="0"/>
          <w:sz w:val="32"/>
          <w:szCs w:val="32"/>
          <w:lang w:val="zh-CN"/>
        </w:rPr>
        <w:t>号及本补充规定中的国家“双一流（世界一流大学和一流学科）建设”高校毕业生，主要包括教育部等单位下发教研函〔</w:t>
      </w:r>
      <w:r>
        <w:rPr>
          <w:rFonts w:ascii="仿宋_GB2312" w:eastAsia="仿宋_GB2312"/>
          <w:kern w:val="0"/>
          <w:sz w:val="32"/>
          <w:szCs w:val="32"/>
          <w:lang w:val="zh-CN"/>
        </w:rPr>
        <w:t>2017</w:t>
      </w:r>
      <w:r>
        <w:rPr>
          <w:rFonts w:hint="eastAsia" w:ascii="仿宋_GB2312" w:eastAsia="仿宋_GB2312"/>
          <w:kern w:val="0"/>
          <w:sz w:val="32"/>
          <w:szCs w:val="32"/>
          <w:lang w:val="zh-CN"/>
        </w:rPr>
        <w:t>〕</w:t>
      </w:r>
      <w:r>
        <w:rPr>
          <w:rFonts w:ascii="仿宋_GB2312" w:eastAsia="仿宋_GB2312"/>
          <w:kern w:val="0"/>
          <w:sz w:val="32"/>
          <w:szCs w:val="32"/>
          <w:lang w:val="zh-CN"/>
        </w:rPr>
        <w:t>2</w:t>
      </w:r>
      <w:r>
        <w:rPr>
          <w:rFonts w:hint="eastAsia" w:ascii="仿宋_GB2312" w:eastAsia="仿宋_GB2312"/>
          <w:kern w:val="0"/>
          <w:sz w:val="32"/>
          <w:szCs w:val="32"/>
          <w:lang w:val="zh-CN"/>
        </w:rPr>
        <w:t>号文件附件内的“一流大学建设高校”毕业的人员及“一流学科建设高校”毕业且所学专业为</w:t>
      </w:r>
      <w:r>
        <w:rPr>
          <w:rFonts w:ascii="仿宋_GB2312" w:eastAsia="仿宋_GB2312"/>
          <w:kern w:val="0"/>
          <w:sz w:val="32"/>
          <w:szCs w:val="32"/>
          <w:lang w:val="zh-CN"/>
        </w:rPr>
        <w:t xml:space="preserve"> “</w:t>
      </w:r>
      <w:r>
        <w:rPr>
          <w:rFonts w:hint="eastAsia" w:ascii="仿宋_GB2312" w:eastAsia="仿宋_GB2312"/>
          <w:kern w:val="0"/>
          <w:sz w:val="32"/>
          <w:szCs w:val="32"/>
          <w:lang w:val="zh-CN"/>
        </w:rPr>
        <w:t>双一流建设学科”的人员。</w:t>
      </w:r>
    </w:p>
    <w:p>
      <w:pPr>
        <w:keepNext w:val="0"/>
        <w:keepLines w:val="0"/>
        <w:pageBreakBefore w:val="0"/>
        <w:widowControl w:val="0"/>
        <w:kinsoku/>
        <w:wordWrap/>
        <w:overflowPunct/>
        <w:topLinePunct w:val="0"/>
        <w:autoSpaceDE/>
        <w:bidi w:val="0"/>
        <w:adjustRightInd/>
        <w:snapToGrid/>
        <w:spacing w:line="500" w:lineRule="exact"/>
        <w:ind w:firstLine="600"/>
        <w:rPr>
          <w:rFonts w:ascii="仿宋_GB2312" w:eastAsia="仿宋_GB2312"/>
          <w:kern w:val="0"/>
          <w:sz w:val="32"/>
          <w:szCs w:val="32"/>
          <w:lang w:val="zh-CN"/>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本补充规定中的境外著名大学指国</w:t>
      </w:r>
      <w:r>
        <w:rPr>
          <w:rFonts w:hint="eastAsia" w:ascii="仿宋_GB2312" w:eastAsia="仿宋_GB2312"/>
          <w:kern w:val="0"/>
          <w:sz w:val="32"/>
          <w:szCs w:val="32"/>
          <w:lang w:val="zh-CN"/>
        </w:rPr>
        <w:t>际公认的三大世界大学最新排名（</w:t>
      </w:r>
      <w:r>
        <w:rPr>
          <w:rFonts w:ascii="仿宋_GB2312" w:eastAsia="仿宋_GB2312"/>
          <w:kern w:val="0"/>
          <w:sz w:val="32"/>
          <w:szCs w:val="32"/>
          <w:lang w:val="zh-CN"/>
        </w:rPr>
        <w:t>ARWU</w:t>
      </w:r>
      <w:r>
        <w:rPr>
          <w:rFonts w:hint="eastAsia" w:ascii="仿宋_GB2312" w:eastAsia="仿宋_GB2312"/>
          <w:kern w:val="0"/>
          <w:sz w:val="32"/>
          <w:szCs w:val="32"/>
          <w:lang w:val="zh-CN"/>
        </w:rPr>
        <w:t>、</w:t>
      </w:r>
      <w:r>
        <w:rPr>
          <w:rFonts w:ascii="仿宋_GB2312" w:eastAsia="仿宋_GB2312"/>
          <w:kern w:val="0"/>
          <w:sz w:val="32"/>
          <w:szCs w:val="32"/>
          <w:lang w:val="zh-CN"/>
        </w:rPr>
        <w:t>QS</w:t>
      </w:r>
      <w:r>
        <w:rPr>
          <w:rFonts w:hint="eastAsia" w:ascii="仿宋_GB2312" w:eastAsia="仿宋_GB2312"/>
          <w:kern w:val="0"/>
          <w:sz w:val="32"/>
          <w:szCs w:val="32"/>
          <w:lang w:val="zh-CN"/>
        </w:rPr>
        <w:t>、</w:t>
      </w:r>
      <w:r>
        <w:rPr>
          <w:rFonts w:ascii="仿宋_GB2312" w:eastAsia="仿宋_GB2312"/>
          <w:kern w:val="0"/>
          <w:sz w:val="32"/>
          <w:szCs w:val="32"/>
          <w:lang w:val="zh-CN"/>
        </w:rPr>
        <w:t>THE</w:t>
      </w:r>
      <w:r>
        <w:rPr>
          <w:rFonts w:hint="eastAsia" w:ascii="仿宋_GB2312" w:eastAsia="仿宋_GB2312"/>
          <w:kern w:val="0"/>
          <w:sz w:val="32"/>
          <w:szCs w:val="32"/>
          <w:lang w:val="zh-CN"/>
        </w:rPr>
        <w:t>）位于前</w:t>
      </w:r>
      <w:r>
        <w:rPr>
          <w:rFonts w:ascii="仿宋_GB2312" w:eastAsia="仿宋_GB2312"/>
          <w:kern w:val="0"/>
          <w:sz w:val="32"/>
          <w:szCs w:val="32"/>
          <w:lang w:val="zh-CN"/>
        </w:rPr>
        <w:t>200</w:t>
      </w:r>
      <w:r>
        <w:rPr>
          <w:rFonts w:hint="eastAsia" w:ascii="仿宋_GB2312" w:eastAsia="仿宋_GB2312"/>
          <w:kern w:val="0"/>
          <w:sz w:val="32"/>
          <w:szCs w:val="32"/>
          <w:lang w:val="zh-CN"/>
        </w:rPr>
        <w:t>名的境外大学（符合其中之一即可）或海峡两岸及港澳地区排名前</w:t>
      </w:r>
      <w:r>
        <w:rPr>
          <w:rFonts w:ascii="仿宋_GB2312" w:eastAsia="仿宋_GB2312"/>
          <w:kern w:val="0"/>
          <w:sz w:val="32"/>
          <w:szCs w:val="32"/>
          <w:lang w:val="zh-CN"/>
        </w:rPr>
        <w:t>100</w:t>
      </w:r>
      <w:r>
        <w:rPr>
          <w:rFonts w:hint="eastAsia" w:ascii="仿宋_GB2312" w:eastAsia="仿宋_GB2312"/>
          <w:kern w:val="0"/>
          <w:sz w:val="32"/>
          <w:szCs w:val="32"/>
          <w:lang w:val="zh-CN"/>
        </w:rPr>
        <w:t>位的大学（参照上海软科或校友会中国两岸四地大学两类排名均可）。</w:t>
      </w:r>
    </w:p>
    <w:p>
      <w:pPr>
        <w:keepNext w:val="0"/>
        <w:keepLines w:val="0"/>
        <w:pageBreakBefore w:val="0"/>
        <w:widowControl w:val="0"/>
        <w:kinsoku/>
        <w:wordWrap/>
        <w:overflowPunct/>
        <w:topLinePunct w:val="0"/>
        <w:autoSpaceDE/>
        <w:bidi w:val="0"/>
        <w:adjustRightInd/>
        <w:snapToGrid/>
        <w:spacing w:line="500" w:lineRule="exact"/>
        <w:ind w:firstLine="600"/>
        <w:rPr>
          <w:rFonts w:ascii="仿宋_GB2312" w:eastAsia="仿宋_GB2312"/>
          <w:kern w:val="0"/>
          <w:sz w:val="32"/>
          <w:szCs w:val="32"/>
          <w:lang w:val="zh-CN"/>
        </w:rPr>
      </w:pPr>
      <w:r>
        <w:rPr>
          <w:rFonts w:hint="eastAsia" w:ascii="仿宋_GB2312" w:eastAsia="仿宋_GB2312"/>
          <w:kern w:val="0"/>
          <w:sz w:val="32"/>
          <w:szCs w:val="32"/>
          <w:lang w:val="zh-CN"/>
        </w:rPr>
        <w:t>三大世界大学排名为：上海交通大学世界一流大学研究中心研究发布的世界大学学术排名（</w:t>
      </w:r>
      <w:r>
        <w:rPr>
          <w:rFonts w:ascii="仿宋_GB2312" w:eastAsia="仿宋_GB2312"/>
          <w:kern w:val="0"/>
          <w:sz w:val="32"/>
          <w:szCs w:val="32"/>
          <w:lang w:val="zh-CN"/>
        </w:rPr>
        <w:t>ARWU</w:t>
      </w:r>
      <w:r>
        <w:rPr>
          <w:rFonts w:hint="eastAsia" w:ascii="仿宋_GB2312" w:eastAsia="仿宋_GB2312"/>
          <w:kern w:val="0"/>
          <w:sz w:val="32"/>
          <w:szCs w:val="32"/>
          <w:lang w:val="zh-CN"/>
        </w:rPr>
        <w:t>）、国际高等教育研究机构</w:t>
      </w:r>
      <w:r>
        <w:rPr>
          <w:rFonts w:ascii="仿宋_GB2312" w:eastAsia="仿宋_GB2312"/>
          <w:kern w:val="0"/>
          <w:sz w:val="32"/>
          <w:szCs w:val="32"/>
          <w:lang w:val="zh-CN"/>
        </w:rPr>
        <w:t>Quacquarelli Symonds</w:t>
      </w:r>
      <w:r>
        <w:rPr>
          <w:rFonts w:hint="eastAsia" w:ascii="仿宋_GB2312" w:eastAsia="仿宋_GB2312"/>
          <w:kern w:val="0"/>
          <w:sz w:val="32"/>
          <w:szCs w:val="32"/>
          <w:lang w:val="zh-CN"/>
        </w:rPr>
        <w:t>发布的</w:t>
      </w:r>
      <w:r>
        <w:rPr>
          <w:rFonts w:ascii="仿宋_GB2312" w:eastAsia="仿宋_GB2312"/>
          <w:kern w:val="0"/>
          <w:sz w:val="32"/>
          <w:szCs w:val="32"/>
          <w:lang w:val="zh-CN"/>
        </w:rPr>
        <w:t>QS</w:t>
      </w:r>
      <w:r>
        <w:rPr>
          <w:rFonts w:hint="eastAsia" w:ascii="仿宋_GB2312" w:eastAsia="仿宋_GB2312"/>
          <w:kern w:val="0"/>
          <w:sz w:val="32"/>
          <w:szCs w:val="32"/>
          <w:lang w:val="zh-CN"/>
        </w:rPr>
        <w:t>世界大学排名、《泰晤士高等教育》（</w:t>
      </w:r>
      <w:r>
        <w:rPr>
          <w:rFonts w:ascii="仿宋_GB2312" w:eastAsia="仿宋_GB2312"/>
          <w:kern w:val="0"/>
          <w:sz w:val="32"/>
          <w:szCs w:val="32"/>
          <w:lang w:val="zh-CN"/>
        </w:rPr>
        <w:t>Times Higher Education</w:t>
      </w:r>
      <w:r>
        <w:rPr>
          <w:rFonts w:hint="eastAsia" w:ascii="仿宋_GB2312" w:eastAsia="仿宋_GB2312"/>
          <w:kern w:val="0"/>
          <w:sz w:val="32"/>
          <w:szCs w:val="32"/>
          <w:lang w:val="zh-CN"/>
        </w:rPr>
        <w:t>）发布的</w:t>
      </w:r>
      <w:r>
        <w:rPr>
          <w:rFonts w:ascii="仿宋_GB2312" w:eastAsia="仿宋_GB2312"/>
          <w:kern w:val="0"/>
          <w:sz w:val="32"/>
          <w:szCs w:val="32"/>
          <w:lang w:val="zh-CN"/>
        </w:rPr>
        <w:t>THE</w:t>
      </w:r>
      <w:r>
        <w:rPr>
          <w:rFonts w:hint="eastAsia" w:ascii="仿宋_GB2312" w:eastAsia="仿宋_GB2312"/>
          <w:kern w:val="0"/>
          <w:sz w:val="32"/>
          <w:szCs w:val="32"/>
          <w:lang w:val="zh-CN"/>
        </w:rPr>
        <w:t>世界大学排名。</w:t>
      </w:r>
    </w:p>
    <w:p>
      <w:pPr>
        <w:keepNext w:val="0"/>
        <w:keepLines w:val="0"/>
        <w:pageBreakBefore w:val="0"/>
        <w:widowControl w:val="0"/>
        <w:kinsoku/>
        <w:wordWrap/>
        <w:overflowPunct/>
        <w:topLinePunct w:val="0"/>
        <w:autoSpaceDE/>
        <w:bidi w:val="0"/>
        <w:adjustRightInd/>
        <w:snapToGrid/>
        <w:spacing w:line="500" w:lineRule="exact"/>
        <w:ind w:firstLine="600"/>
        <w:rPr>
          <w:rFonts w:ascii="仿宋_GB2312" w:eastAsia="仿宋_GB2312"/>
          <w:kern w:val="0"/>
          <w:sz w:val="32"/>
          <w:szCs w:val="32"/>
          <w:lang w:val="zh-CN"/>
        </w:rPr>
      </w:pPr>
      <w:r>
        <w:rPr>
          <w:rFonts w:hint="eastAsia" w:ascii="仿宋_GB2312" w:eastAsia="仿宋_GB2312"/>
          <w:kern w:val="0"/>
          <w:sz w:val="32"/>
          <w:szCs w:val="32"/>
          <w:lang w:val="zh-CN"/>
        </w:rPr>
        <w:t>最新排名指毕业当年的排名。如果毕业当年没有排名的，以申报时的最新排名为准。</w:t>
      </w:r>
    </w:p>
    <w:p>
      <w:pPr>
        <w:keepNext w:val="0"/>
        <w:keepLines w:val="0"/>
        <w:pageBreakBefore w:val="0"/>
        <w:widowControl w:val="0"/>
        <w:kinsoku/>
        <w:wordWrap/>
        <w:overflowPunct/>
        <w:topLinePunct w:val="0"/>
        <w:autoSpaceDE/>
        <w:bidi w:val="0"/>
        <w:adjustRightInd/>
        <w:snapToGrid/>
        <w:spacing w:line="500" w:lineRule="exact"/>
        <w:ind w:firstLine="600"/>
        <w:rPr>
          <w:rFonts w:ascii="仿宋_GB2312" w:eastAsia="仿宋_GB2312"/>
          <w:sz w:val="32"/>
          <w:szCs w:val="32"/>
        </w:rPr>
      </w:pPr>
      <w:r>
        <w:rPr>
          <w:rFonts w:hint="eastAsia" w:ascii="仿宋_GB2312" w:eastAsia="仿宋_GB2312"/>
          <w:sz w:val="32"/>
          <w:szCs w:val="32"/>
        </w:rPr>
        <w:t>8</w:t>
      </w:r>
      <w:r>
        <w:rPr>
          <w:rFonts w:ascii="仿宋_GB2312" w:eastAsia="仿宋_GB2312"/>
          <w:sz w:val="32"/>
          <w:szCs w:val="32"/>
        </w:rPr>
        <w:t>.</w:t>
      </w:r>
      <w:r>
        <w:rPr>
          <w:rFonts w:hint="eastAsia" w:ascii="仿宋_GB2312" w:eastAsia="仿宋_GB2312"/>
          <w:sz w:val="32"/>
          <w:szCs w:val="32"/>
        </w:rPr>
        <w:t>各县</w:t>
      </w:r>
      <w:r>
        <w:rPr>
          <w:rFonts w:ascii="仿宋_GB2312" w:eastAsia="仿宋_GB2312"/>
          <w:sz w:val="32"/>
          <w:szCs w:val="32"/>
        </w:rPr>
        <w:t>(</w:t>
      </w:r>
      <w:r>
        <w:rPr>
          <w:rFonts w:hint="eastAsia" w:ascii="仿宋_GB2312" w:eastAsia="仿宋_GB2312"/>
          <w:sz w:val="32"/>
          <w:szCs w:val="32"/>
        </w:rPr>
        <w:t>市</w:t>
      </w:r>
      <w:r>
        <w:rPr>
          <w:rFonts w:ascii="仿宋_GB2312" w:eastAsia="仿宋_GB2312"/>
          <w:sz w:val="32"/>
          <w:szCs w:val="32"/>
        </w:rPr>
        <w:t>)</w:t>
      </w:r>
      <w:r>
        <w:rPr>
          <w:rFonts w:hint="eastAsia" w:ascii="仿宋_GB2312" w:eastAsia="仿宋_GB2312"/>
          <w:sz w:val="32"/>
          <w:szCs w:val="32"/>
        </w:rPr>
        <w:t>区可根据本地实际，在本补充规定基础上适当增设奖励项目，调整人才配套补助标准。</w:t>
      </w:r>
    </w:p>
    <w:p>
      <w:pPr>
        <w:keepNext w:val="0"/>
        <w:keepLines w:val="0"/>
        <w:pageBreakBefore w:val="0"/>
        <w:widowControl w:val="0"/>
        <w:kinsoku/>
        <w:wordWrap/>
        <w:overflowPunct/>
        <w:topLinePunct w:val="0"/>
        <w:autoSpaceDE/>
        <w:bidi w:val="0"/>
        <w:adjustRightInd/>
        <w:snapToGrid/>
        <w:spacing w:line="500" w:lineRule="exact"/>
        <w:ind w:firstLine="600"/>
        <w:rPr>
          <w:rFonts w:hint="eastAsia" w:ascii="仿宋_GB2312" w:hAnsi="仿宋_GB2312" w:eastAsia="仿宋_GB2312" w:cs="仿宋_GB2312"/>
          <w:sz w:val="32"/>
          <w:szCs w:val="32"/>
        </w:rPr>
      </w:pPr>
      <w:r>
        <w:rPr>
          <w:rFonts w:ascii="仿宋_GB2312" w:eastAsia="仿宋_GB2312"/>
          <w:sz w:val="32"/>
          <w:szCs w:val="32"/>
        </w:rPr>
        <w:t>9.</w:t>
      </w:r>
      <w:r>
        <w:rPr>
          <w:rFonts w:hint="eastAsia" w:ascii="仿宋_GB2312" w:eastAsia="仿宋_GB2312"/>
          <w:sz w:val="32"/>
          <w:szCs w:val="32"/>
        </w:rPr>
        <w:t>本补充规定自</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月起执行</w:t>
      </w:r>
      <w:r>
        <w:rPr>
          <w:rFonts w:ascii="仿宋_GB2312" w:eastAsia="仿宋_GB2312"/>
          <w:sz w:val="32"/>
          <w:szCs w:val="32"/>
        </w:rPr>
        <w:t>(</w:t>
      </w:r>
      <w:r>
        <w:rPr>
          <w:rFonts w:hint="eastAsia" w:ascii="仿宋_GB2312" w:eastAsia="仿宋_GB2312"/>
          <w:sz w:val="32"/>
          <w:szCs w:val="32"/>
        </w:rPr>
        <w:t>适用对象含</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月新上岗的人员</w:t>
      </w:r>
      <w:r>
        <w:rPr>
          <w:rFonts w:ascii="仿宋_GB2312" w:eastAsia="仿宋_GB2312"/>
          <w:sz w:val="32"/>
          <w:szCs w:val="32"/>
        </w:rPr>
        <w:t>)</w:t>
      </w:r>
      <w:r>
        <w:rPr>
          <w:rFonts w:hint="eastAsia" w:ascii="仿宋_GB2312" w:eastAsia="仿宋_GB2312"/>
          <w:sz w:val="32"/>
          <w:szCs w:val="32"/>
        </w:rPr>
        <w:t>。</w:t>
      </w:r>
    </w:p>
    <w:p>
      <w:bookmarkStart w:id="0" w:name="_GoBack"/>
      <w:bookmarkEnd w:id="0"/>
    </w:p>
    <w:sectPr>
      <w:footerReference r:id="rId3" w:type="default"/>
      <w:pgSz w:w="11906" w:h="16838"/>
      <w:pgMar w:top="2097" w:right="1587" w:bottom="1440" w:left="1587" w:header="851" w:footer="992"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366"/>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C6B5A"/>
    <w:rsid w:val="793C6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2019-11-11T08:50:00Z</dcterms:created>
  <dc:creator>薛珉</dc:creator>
  <cp:lastModifiedBy>薛珉</cp:lastModifiedBy>
  <dcterms:modified xsi:type="dcterms:W3CDTF">2019-11-11T08:51:09Z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