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eastAsia="方正仿宋简体"/>
          <w:sz w:val="30"/>
        </w:rPr>
      </w:pPr>
    </w:p>
    <w:p>
      <w:pPr>
        <w:jc w:val="distribute"/>
        <w:rPr>
          <w:rFonts w:ascii="宋体" w:hAnsi="宋体"/>
          <w:color w:val="FF0000"/>
          <w:sz w:val="100"/>
        </w:rPr>
      </w:pPr>
      <w:r>
        <w:rPr>
          <w:rFonts w:hint="eastAsia" w:ascii="宋体" w:hAnsi="宋体"/>
          <w:color w:val="FF0000"/>
          <w:sz w:val="100"/>
        </w:rPr>
        <w:t>福州市教育局文件</w:t>
      </w:r>
    </w:p>
    <w:p>
      <w:pPr>
        <w:spacing w:line="600" w:lineRule="exact"/>
        <w:jc w:val="center"/>
        <w:rPr>
          <w:rFonts w:ascii="仿宋_GB2312" w:eastAsia="仿宋_GB2312"/>
        </w:rPr>
      </w:pPr>
      <w:r>
        <w:rPr>
          <w:rFonts w:hint="eastAsia" w:ascii="仿宋_GB2312" w:eastAsia="仿宋_GB2312"/>
        </w:rPr>
        <w:t>榕教民〔2022〕1号</w:t>
      </w:r>
    </w:p>
    <w:p>
      <w:pPr>
        <w:rPr>
          <w:rFonts w:ascii="方正仿宋简体" w:eastAsia="方正仿宋简体"/>
          <w:sz w:val="30"/>
        </w:rPr>
      </w:pPr>
      <w:r>
        <w:rPr>
          <w:rFonts w:hint="eastAsi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198120</wp:posOffset>
                </wp:positionV>
                <wp:extent cx="5600700" cy="0"/>
                <wp:effectExtent l="0" t="12700" r="7620" b="1778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5.6pt;height:0pt;width:441pt;z-index:251666432;mso-width-relative:page;mso-height-relative:page;" filled="f" stroked="t" coordsize="21600,21600" o:gfxdata="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B/7N+dMAAAAG&#10;AQAADwAAAAAAAAABACAAAAA4AAAAZHJzL2Rvd25yZXYueG1sUEsBAhQAFAAAAAgAh07iQAaoS+vS&#10;AQAAiwMAAA4AAAAAAAAAAQAgAAAAOAEAAGRycy9lMm9Eb2MueG1sUEsFBgAAAAAGAAYAWQEAAHwF&#10;AAAAAA==&#10;">
                <v:fill on="f" focussize="0,0"/>
                <v:stroke weight="2pt" color="#FF0000" joinstyle="round"/>
                <v:imagedata o:title=""/>
                <o:lock v:ext="edit" aspectratio="f"/>
              </v:line>
            </w:pict>
          </mc:Fallback>
        </mc:AlternateContent>
      </w:r>
    </w:p>
    <w:p>
      <w:pPr>
        <w:spacing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福州市</w:t>
      </w:r>
      <w:r>
        <w:rPr>
          <w:rFonts w:ascii="方正小标宋简体" w:hAnsi="方正小标宋简体" w:eastAsia="方正小标宋简体" w:cs="方正小标宋简体"/>
          <w:bCs/>
          <w:sz w:val="44"/>
          <w:szCs w:val="44"/>
        </w:rPr>
        <w:t>教育局</w:t>
      </w:r>
      <w:r>
        <w:rPr>
          <w:rFonts w:hint="eastAsia" w:ascii="方正小标宋简体" w:hAnsi="方正小标宋简体" w:eastAsia="方正小标宋简体" w:cs="方正小标宋简体"/>
          <w:bCs/>
          <w:sz w:val="44"/>
          <w:szCs w:val="44"/>
        </w:rPr>
        <w:t>关于印发《</w:t>
      </w:r>
      <w:r>
        <w:rPr>
          <w:rFonts w:ascii="方正小标宋简体" w:hAnsi="方正小标宋简体" w:eastAsia="方正小标宋简体" w:cs="方正小标宋简体"/>
          <w:bCs/>
          <w:sz w:val="44"/>
          <w:szCs w:val="44"/>
        </w:rPr>
        <w:t>福州市</w:t>
      </w:r>
      <w:r>
        <w:rPr>
          <w:rFonts w:hint="eastAsia" w:ascii="方正小标宋简体" w:hAnsi="方正小标宋简体" w:eastAsia="方正小标宋简体" w:cs="方正小标宋简体"/>
          <w:bCs/>
          <w:sz w:val="44"/>
          <w:szCs w:val="44"/>
        </w:rPr>
        <w:t>中小学生</w:t>
      </w:r>
    </w:p>
    <w:p>
      <w:pPr>
        <w:spacing w:line="500" w:lineRule="exact"/>
        <w:jc w:val="center"/>
        <w:rPr>
          <w:rFonts w:ascii="方正小标宋简体" w:hAnsi="方正小标宋简体" w:eastAsia="方正小标宋简体" w:cs="方正小标宋简体"/>
          <w:bCs/>
          <w:w w:val="96"/>
          <w:sz w:val="44"/>
          <w:szCs w:val="44"/>
        </w:rPr>
      </w:pPr>
      <w:r>
        <w:rPr>
          <w:rFonts w:hint="eastAsia" w:ascii="方正小标宋简体" w:hAnsi="方正小标宋简体" w:eastAsia="方正小标宋简体" w:cs="方正小标宋简体"/>
          <w:bCs/>
          <w:sz w:val="44"/>
          <w:szCs w:val="44"/>
        </w:rPr>
        <w:t>校外培训项目分类鉴别指南》的通知</w:t>
      </w:r>
    </w:p>
    <w:p>
      <w:pPr>
        <w:spacing w:line="500" w:lineRule="exact"/>
        <w:rPr>
          <w:rFonts w:ascii="仿宋" w:hAnsi="仿宋" w:cs="仿宋"/>
        </w:rPr>
      </w:pPr>
    </w:p>
    <w:p>
      <w:pPr>
        <w:spacing w:line="460" w:lineRule="exact"/>
        <w:rPr>
          <w:rFonts w:ascii="仿宋_GB2312" w:hAnsi="仿宋_GB2312" w:eastAsia="仿宋_GB2312" w:cs="仿宋_GB2312"/>
        </w:rPr>
      </w:pPr>
      <w:r>
        <w:rPr>
          <w:rFonts w:hint="eastAsia" w:ascii="仿宋_GB2312" w:hAnsi="仿宋_GB2312" w:eastAsia="仿宋_GB2312" w:cs="仿宋_GB2312"/>
        </w:rPr>
        <w:t>各县</w:t>
      </w:r>
      <w:r>
        <w:rPr>
          <w:rFonts w:hint="eastAsia" w:ascii="仿宋_GB2312" w:hAnsi="仿宋_GB2312" w:eastAsia="仿宋_GB2312" w:cs="仿宋_GB2312"/>
          <w:kern w:val="0"/>
        </w:rPr>
        <w:t>（市）区教育局、高新区教卫局</w:t>
      </w:r>
      <w:r>
        <w:rPr>
          <w:rFonts w:hint="eastAsia" w:ascii="仿宋_GB2312" w:hAnsi="仿宋_GB2312" w:eastAsia="仿宋_GB2312" w:cs="仿宋_GB2312"/>
        </w:rPr>
        <w:t>：</w:t>
      </w:r>
    </w:p>
    <w:p>
      <w:pPr>
        <w:spacing w:line="460" w:lineRule="exact"/>
        <w:ind w:firstLine="632" w:firstLineChars="200"/>
      </w:pPr>
      <w:r>
        <w:rPr>
          <w:rFonts w:eastAsia="仿宋_GB2312"/>
        </w:rPr>
        <w:t>为贯彻落实中共中央办公厅、国务院办公厅印发的《关于进一步减轻义务教育阶段学生作业负担和校外培训负担的意见》，加强对</w:t>
      </w:r>
      <w:r>
        <w:rPr>
          <w:rFonts w:hint="eastAsia" w:eastAsia="仿宋_GB2312"/>
        </w:rPr>
        <w:t>中小学生</w:t>
      </w:r>
      <w:r>
        <w:rPr>
          <w:rFonts w:eastAsia="仿宋_GB2312"/>
        </w:rPr>
        <w:t>校外培训机构</w:t>
      </w:r>
      <w:r>
        <w:rPr>
          <w:rFonts w:hint="eastAsia" w:eastAsia="仿宋_GB2312"/>
        </w:rPr>
        <w:t>“</w:t>
      </w:r>
      <w:r>
        <w:rPr>
          <w:rFonts w:eastAsia="仿宋_GB2312"/>
        </w:rPr>
        <w:t>学科类</w:t>
      </w:r>
      <w:r>
        <w:rPr>
          <w:rFonts w:hint="eastAsia" w:eastAsia="仿宋_GB2312"/>
        </w:rPr>
        <w:t>”</w:t>
      </w:r>
      <w:r>
        <w:rPr>
          <w:rFonts w:eastAsia="仿宋_GB2312"/>
        </w:rPr>
        <w:t>项目鉴别管理，</w:t>
      </w:r>
      <w:r>
        <w:rPr>
          <w:rFonts w:hint="eastAsia" w:eastAsia="仿宋_GB2312"/>
        </w:rPr>
        <w:t>根据《教育部办公厅关于印发&lt;义务教育阶段校外培训项目分类鉴别指南&gt;的通知》的有关要求，结合我市实际，制定《福州市中小学生校外培训项目分类鉴别指南》，现印发</w:t>
      </w:r>
      <w:r>
        <w:rPr>
          <w:rFonts w:hint="eastAsia" w:ascii="仿宋_GB2312" w:hAnsi="仿宋_GB2312" w:eastAsia="仿宋_GB2312" w:cs="仿宋_GB2312"/>
        </w:rPr>
        <w:t>给你们，请认真遵照执行，抓紧研制本地区中小学生校外培训项目鉴别相关指南办法，并于2022年1月15日前将本地区相关文件报我局备案。</w:t>
      </w:r>
    </w:p>
    <w:tbl>
      <w:tblPr>
        <w:tblStyle w:val="10"/>
        <w:tblpPr w:leftFromText="180" w:rightFromText="180" w:vertAnchor="text" w:horzAnchor="page" w:tblpX="1507" w:tblpY="242"/>
        <w:tblOverlap w:val="never"/>
        <w:tblW w:w="0" w:type="auto"/>
        <w:tblInd w:w="0" w:type="dxa"/>
        <w:tblLayout w:type="fixed"/>
        <w:tblCellMar>
          <w:top w:w="0" w:type="dxa"/>
          <w:left w:w="108" w:type="dxa"/>
          <w:bottom w:w="0" w:type="dxa"/>
          <w:right w:w="108" w:type="dxa"/>
        </w:tblCellMar>
      </w:tblPr>
      <w:tblGrid>
        <w:gridCol w:w="4530"/>
        <w:gridCol w:w="4530"/>
      </w:tblGrid>
      <w:tr>
        <w:trPr>
          <w:trHeight w:val="624" w:hRule="atLeast"/>
        </w:trPr>
        <w:tc>
          <w:tcPr>
            <w:tcW w:w="4530" w:type="dxa"/>
            <w:vAlign w:val="center"/>
          </w:tcPr>
          <w:p>
            <w:pPr>
              <w:spacing w:line="460" w:lineRule="exact"/>
              <w:rPr>
                <w:rFonts w:ascii="仿宋_GB2312" w:hAnsi="仿宋_GB2312" w:eastAsia="仿宋_GB2312" w:cs="仿宋_GB2312"/>
              </w:rPr>
            </w:pPr>
          </w:p>
        </w:tc>
        <w:tc>
          <w:tcPr>
            <w:tcW w:w="4530" w:type="dxa"/>
            <w:vAlign w:val="center"/>
          </w:tcPr>
          <w:p>
            <w:pPr>
              <w:spacing w:line="460" w:lineRule="exact"/>
              <w:rPr>
                <w:rFonts w:ascii="仿宋_GB2312" w:hAnsi="仿宋_GB2312" w:eastAsia="仿宋_GB2312" w:cs="仿宋_GB2312"/>
              </w:rPr>
            </w:pPr>
          </w:p>
          <w:p>
            <w:pPr>
              <w:wordWrap w:val="0"/>
              <w:spacing w:line="460" w:lineRule="exact"/>
              <w:jc w:val="center"/>
              <w:rPr>
                <w:rFonts w:ascii="仿宋_GB2312" w:hAnsi="仿宋_GB2312" w:eastAsia="仿宋_GB2312" w:cs="仿宋_GB2312"/>
              </w:rPr>
            </w:pPr>
            <w:r>
              <w:rPr>
                <w:rFonts w:hint="eastAsia" w:ascii="仿宋_GB2312" w:hAnsi="仿宋_GB2312" w:eastAsia="仿宋_GB2312" w:cs="仿宋_GB2312"/>
              </w:rPr>
              <w:t xml:space="preserve">  福州市</w:t>
            </w:r>
            <w:r>
              <w:rPr>
                <w:rFonts w:ascii="仿宋_GB2312" w:hAnsi="仿宋_GB2312" w:eastAsia="仿宋_GB2312" w:cs="仿宋_GB2312"/>
              </w:rPr>
              <w:t>教育局</w:t>
            </w:r>
          </w:p>
        </w:tc>
      </w:tr>
      <w:tr>
        <w:trPr>
          <w:trHeight w:val="308" w:hRule="atLeast"/>
        </w:trPr>
        <w:tc>
          <w:tcPr>
            <w:tcW w:w="9060" w:type="dxa"/>
            <w:gridSpan w:val="2"/>
            <w:vAlign w:val="bottom"/>
          </w:tcPr>
          <w:p>
            <w:pPr>
              <w:spacing w:line="460" w:lineRule="exact"/>
              <w:ind w:firstLine="5688" w:firstLineChars="1800"/>
              <w:jc w:val="left"/>
              <w:rPr>
                <w:rFonts w:ascii="仿宋_GB2312" w:hAnsi="仿宋_GB2312" w:eastAsia="仿宋_GB2312" w:cs="仿宋_GB2312"/>
              </w:rPr>
            </w:pPr>
            <w:r>
              <w:rPr>
                <w:rFonts w:hint="eastAsia" w:ascii="仿宋_GB2312" w:hAnsi="仿宋_GB2312" w:eastAsia="仿宋_GB2312" w:cs="仿宋_GB2312"/>
              </w:rPr>
              <w:t>2022年1月10日</w:t>
            </w:r>
          </w:p>
          <w:p>
            <w:pPr>
              <w:pStyle w:val="23"/>
              <w:spacing w:before="0" w:beforeAutospacing="0" w:after="0" w:afterAutospacing="0" w:line="500" w:lineRule="exact"/>
              <w:ind w:firstLine="632"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（此件主动公开）</w:t>
            </w:r>
          </w:p>
          <w:p>
            <w:pPr>
              <w:pStyle w:val="23"/>
              <w:spacing w:before="0" w:beforeAutospacing="0" w:after="0" w:afterAutospacing="0" w:line="500" w:lineRule="exact"/>
              <w:ind w:firstLine="632" w:firstLineChars="200"/>
              <w:jc w:val="both"/>
              <w:rPr>
                <w:rFonts w:hint="eastAsia" w:ascii="仿宋_GB2312" w:hAnsi="仿宋_GB2312" w:eastAsia="仿宋_GB2312" w:cs="仿宋_GB2312"/>
                <w:kern w:val="2"/>
                <w:sz w:val="32"/>
                <w:szCs w:val="32"/>
              </w:rPr>
            </w:pPr>
            <w:bookmarkStart w:id="0" w:name="_GoBack"/>
            <w:bookmarkEnd w:id="0"/>
          </w:p>
          <w:p>
            <w:pPr>
              <w:pStyle w:val="2"/>
              <w:spacing w:line="460" w:lineRule="exact"/>
              <w:ind w:firstLine="0" w:firstLineChars="0"/>
              <w:jc w:val="both"/>
            </w:pPr>
          </w:p>
        </w:tc>
      </w:tr>
    </w:tbl>
    <w:p>
      <w:pPr>
        <w:spacing w:line="7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福州市中小学生校外培训项目分类鉴别指南</w:t>
      </w:r>
    </w:p>
    <w:p>
      <w:pPr>
        <w:pStyle w:val="2"/>
        <w:ind w:firstLine="632" w:firstLineChars="200"/>
        <w:jc w:val="both"/>
        <w:rPr>
          <w:rFonts w:eastAsia="仿宋_GB2312"/>
          <w:sz w:val="32"/>
          <w:szCs w:val="32"/>
        </w:rPr>
      </w:pPr>
    </w:p>
    <w:p>
      <w:pPr>
        <w:pStyle w:val="2"/>
        <w:ind w:firstLine="632" w:firstLineChars="200"/>
        <w:jc w:val="both"/>
        <w:rPr>
          <w:rFonts w:eastAsia="仿宋_GB2312"/>
          <w:sz w:val="32"/>
          <w:szCs w:val="32"/>
        </w:rPr>
      </w:pPr>
      <w:r>
        <w:rPr>
          <w:rFonts w:hint="eastAsia" w:eastAsia="仿宋_GB2312"/>
          <w:sz w:val="32"/>
          <w:szCs w:val="32"/>
        </w:rPr>
        <w:t>根据</w:t>
      </w:r>
      <w:r>
        <w:rPr>
          <w:rFonts w:eastAsia="仿宋_GB2312"/>
          <w:sz w:val="32"/>
          <w:szCs w:val="32"/>
        </w:rPr>
        <w:t>中共中央办公厅、国务院办公厅《关于进一步减轻义务教育阶段学生作业负担和校外培训负担的意见》</w:t>
      </w:r>
      <w:r>
        <w:rPr>
          <w:rFonts w:hint="eastAsia" w:eastAsia="仿宋_GB2312"/>
          <w:sz w:val="32"/>
          <w:szCs w:val="32"/>
        </w:rPr>
        <w:t>、教育部办公厅印发的《义务教育阶段校外培训项目分类鉴别指南》</w:t>
      </w:r>
      <w:r>
        <w:rPr>
          <w:rFonts w:eastAsia="仿宋_GB2312"/>
          <w:sz w:val="32"/>
          <w:szCs w:val="32"/>
        </w:rPr>
        <w:t>和福建省教育厅印发的《</w:t>
      </w:r>
      <w:r>
        <w:rPr>
          <w:rFonts w:hint="eastAsia" w:eastAsia="仿宋_GB2312"/>
          <w:sz w:val="32"/>
          <w:szCs w:val="32"/>
        </w:rPr>
        <w:t>福建省中小学生校外培训项目分类鉴别指南</w:t>
      </w:r>
      <w:r>
        <w:rPr>
          <w:rFonts w:eastAsia="仿宋_GB2312"/>
          <w:sz w:val="32"/>
          <w:szCs w:val="32"/>
        </w:rPr>
        <w:t>》，</w:t>
      </w:r>
      <w:r>
        <w:rPr>
          <w:rFonts w:hint="eastAsia" w:eastAsia="仿宋_GB2312"/>
          <w:sz w:val="32"/>
          <w:szCs w:val="32"/>
        </w:rPr>
        <w:t>为科学</w:t>
      </w:r>
      <w:r>
        <w:rPr>
          <w:rFonts w:eastAsia="仿宋_GB2312"/>
          <w:sz w:val="32"/>
          <w:szCs w:val="32"/>
        </w:rPr>
        <w:t>鉴定</w:t>
      </w:r>
      <w:r>
        <w:rPr>
          <w:rFonts w:hint="eastAsia" w:eastAsia="仿宋_GB2312"/>
          <w:sz w:val="32"/>
          <w:szCs w:val="32"/>
        </w:rPr>
        <w:t>中小学生</w:t>
      </w:r>
      <w:r>
        <w:rPr>
          <w:rFonts w:eastAsia="仿宋_GB2312"/>
          <w:sz w:val="32"/>
          <w:szCs w:val="32"/>
        </w:rPr>
        <w:t>校外培训机构</w:t>
      </w:r>
      <w:r>
        <w:rPr>
          <w:rFonts w:hint="eastAsia" w:eastAsia="仿宋_GB2312"/>
          <w:sz w:val="32"/>
          <w:szCs w:val="32"/>
        </w:rPr>
        <w:t>“</w:t>
      </w:r>
      <w:r>
        <w:rPr>
          <w:rFonts w:eastAsia="仿宋_GB2312"/>
          <w:sz w:val="32"/>
          <w:szCs w:val="32"/>
        </w:rPr>
        <w:t>学科类</w:t>
      </w:r>
      <w:r>
        <w:rPr>
          <w:rFonts w:hint="eastAsia" w:eastAsia="仿宋_GB2312"/>
          <w:sz w:val="32"/>
          <w:szCs w:val="32"/>
        </w:rPr>
        <w:t>”</w:t>
      </w:r>
      <w:r>
        <w:rPr>
          <w:rFonts w:eastAsia="仿宋_GB2312"/>
          <w:sz w:val="32"/>
          <w:szCs w:val="32"/>
        </w:rPr>
        <w:t>项目，结合福州市实际，</w:t>
      </w:r>
      <w:r>
        <w:rPr>
          <w:rFonts w:hint="eastAsia" w:eastAsia="仿宋_GB2312"/>
          <w:sz w:val="32"/>
          <w:szCs w:val="32"/>
        </w:rPr>
        <w:t>制定本指南。</w:t>
      </w:r>
    </w:p>
    <w:p>
      <w:pPr>
        <w:pStyle w:val="2"/>
        <w:numPr>
          <w:ilvl w:val="0"/>
          <w:numId w:val="2"/>
        </w:numPr>
        <w:ind w:firstLine="632" w:firstLineChars="200"/>
        <w:jc w:val="both"/>
        <w:rPr>
          <w:rFonts w:ascii="黑体" w:hAnsi="黑体" w:eastAsia="黑体" w:cs="黑体"/>
          <w:sz w:val="32"/>
          <w:szCs w:val="32"/>
        </w:rPr>
      </w:pPr>
      <w:r>
        <w:rPr>
          <w:rFonts w:hint="eastAsia" w:ascii="黑体" w:hAnsi="黑体" w:eastAsia="黑体" w:cs="黑体"/>
          <w:sz w:val="32"/>
          <w:szCs w:val="32"/>
        </w:rPr>
        <w:t>适用范围</w:t>
      </w:r>
    </w:p>
    <w:p>
      <w:pPr>
        <w:pStyle w:val="2"/>
        <w:ind w:firstLine="632" w:firstLineChars="200"/>
        <w:jc w:val="both"/>
        <w:rPr>
          <w:rFonts w:eastAsia="仿宋_GB2312"/>
          <w:sz w:val="32"/>
          <w:szCs w:val="32"/>
        </w:rPr>
      </w:pPr>
      <w:r>
        <w:rPr>
          <w:rFonts w:hint="eastAsia" w:eastAsia="仿宋_GB2312"/>
          <w:sz w:val="32"/>
          <w:szCs w:val="32"/>
        </w:rPr>
        <w:t>校外培训机构面向中小学生（含义务教育阶段和高中阶段）实施校外培训，适用本指南。面向</w:t>
      </w:r>
      <w:r>
        <w:rPr>
          <w:rFonts w:hint="eastAsia" w:ascii="仿宋_GB2312" w:hAnsi="仿宋_GB2312" w:eastAsia="仿宋_GB2312" w:cs="仿宋_GB2312"/>
          <w:sz w:val="32"/>
          <w:szCs w:val="32"/>
        </w:rPr>
        <w:t>3至6</w:t>
      </w:r>
      <w:r>
        <w:rPr>
          <w:rFonts w:hint="eastAsia" w:eastAsia="仿宋_GB2312"/>
          <w:sz w:val="32"/>
          <w:szCs w:val="32"/>
        </w:rPr>
        <w:t>岁学龄前儿童实施培训服务的机构，参照执行。</w:t>
      </w:r>
    </w:p>
    <w:p>
      <w:pPr>
        <w:pStyle w:val="5"/>
        <w:keepNext w:val="0"/>
        <w:keepLines w:val="0"/>
        <w:numPr>
          <w:ilvl w:val="0"/>
          <w:numId w:val="0"/>
        </w:numPr>
        <w:wordWrap w:val="0"/>
        <w:spacing w:line="580" w:lineRule="exact"/>
        <w:ind w:firstLine="632" w:firstLineChars="200"/>
        <w:rPr>
          <w:rFonts w:ascii="Times New Roman" w:hAnsi="Times New Roman" w:cs="Times New Roman"/>
          <w:b w:val="0"/>
          <w:bCs/>
        </w:rPr>
      </w:pPr>
      <w:r>
        <w:rPr>
          <w:rFonts w:ascii="Times New Roman" w:hAnsi="Times New Roman" w:cs="Times New Roman"/>
          <w:b w:val="0"/>
          <w:bCs/>
        </w:rPr>
        <w:t>二、基本原则</w:t>
      </w:r>
    </w:p>
    <w:p>
      <w:pPr>
        <w:pStyle w:val="9"/>
        <w:widowControl w:val="0"/>
        <w:wordWrap w:val="0"/>
        <w:spacing w:beforeAutospacing="0" w:afterAutospacing="0" w:line="580" w:lineRule="exact"/>
        <w:ind w:firstLine="632" w:firstLineChars="200"/>
        <w:jc w:val="both"/>
        <w:rPr>
          <w:rFonts w:ascii="Times New Roman" w:hAnsi="Times New Roman" w:eastAsia="仿宋_GB2312" w:cs="Times New Roman"/>
          <w:sz w:val="32"/>
        </w:rPr>
      </w:pPr>
      <w:r>
        <w:rPr>
          <w:rFonts w:ascii="Times New Roman" w:hAnsi="Times New Roman" w:eastAsia="仿宋_GB2312" w:cs="Times New Roman"/>
          <w:sz w:val="32"/>
        </w:rPr>
        <w:t>校外培训项目分类鉴别工作，遵循以下原则：</w:t>
      </w:r>
    </w:p>
    <w:p>
      <w:pPr>
        <w:wordWrap w:val="0"/>
        <w:spacing w:line="580" w:lineRule="exact"/>
        <w:ind w:firstLine="632" w:firstLineChars="200"/>
        <w:rPr>
          <w:rFonts w:eastAsia="仿宋_GB2312"/>
          <w:highlight w:val="yellow"/>
        </w:rPr>
      </w:pPr>
      <w:r>
        <w:rPr>
          <w:rFonts w:eastAsia="楷体"/>
          <w:b/>
          <w:bCs/>
        </w:rPr>
        <w:t>（一）坚持从严规范。</w:t>
      </w:r>
      <w:r>
        <w:rPr>
          <w:rFonts w:eastAsia="仿宋_GB2312"/>
        </w:rPr>
        <w:t>深刻领会贯彻中央“双减”</w:t>
      </w:r>
      <w:r>
        <w:rPr>
          <w:rFonts w:hint="eastAsia" w:eastAsia="仿宋_GB2312"/>
        </w:rPr>
        <w:t>政策</w:t>
      </w:r>
      <w:r>
        <w:rPr>
          <w:rFonts w:eastAsia="仿宋_GB2312"/>
        </w:rPr>
        <w:t>精神，严格遵照国家相关法律法规和政策规定，落实属地行政管理责任，明晰界线、从严要求、规范程序，体现权威性和严肃性。</w:t>
      </w:r>
    </w:p>
    <w:p>
      <w:pPr>
        <w:wordWrap w:val="0"/>
        <w:spacing w:line="580" w:lineRule="exact"/>
        <w:ind w:firstLine="632" w:firstLineChars="200"/>
        <w:rPr>
          <w:rFonts w:eastAsia="仿宋_GB2312"/>
        </w:rPr>
      </w:pPr>
      <w:r>
        <w:rPr>
          <w:rFonts w:eastAsia="楷体"/>
          <w:b/>
          <w:bCs/>
        </w:rPr>
        <w:t>（二）坚持科学严谨。</w:t>
      </w:r>
      <w:r>
        <w:rPr>
          <w:rFonts w:eastAsia="仿宋_GB2312"/>
        </w:rPr>
        <w:t>充分依靠专家力量，尊重学科规律和教学规律，综合培训项目的实际情况，立足具体问题具体分析，给出客观、公正、独立的专业鉴别意见，确保科学与严谨。</w:t>
      </w:r>
    </w:p>
    <w:p>
      <w:pPr>
        <w:wordWrap w:val="0"/>
        <w:spacing w:line="580" w:lineRule="exact"/>
        <w:ind w:firstLine="632" w:firstLineChars="200"/>
        <w:rPr>
          <w:rFonts w:eastAsia="仿宋_GB2312"/>
        </w:rPr>
      </w:pPr>
      <w:r>
        <w:rPr>
          <w:rFonts w:eastAsia="楷体"/>
          <w:b/>
          <w:bCs/>
        </w:rPr>
        <w:t>（三）坚持统筹协调。</w:t>
      </w:r>
      <w:r>
        <w:rPr>
          <w:rFonts w:eastAsia="仿宋_GB2312"/>
        </w:rPr>
        <w:t>加强主管部门之间横向配合、</w:t>
      </w:r>
      <w:r>
        <w:rPr>
          <w:rFonts w:hint="eastAsia" w:eastAsia="仿宋_GB2312"/>
        </w:rPr>
        <w:t>地市</w:t>
      </w:r>
      <w:r>
        <w:rPr>
          <w:rFonts w:eastAsia="仿宋_GB2312"/>
        </w:rPr>
        <w:t>之间协同推进，坚持“一盘棋” ，避免在实践中出现“低洼区” “空白区” “矛盾区”。积极研究和应对工作中出现的各种新情况、新问题，不断探索创新，在实践中完善制度和机制。</w:t>
      </w:r>
    </w:p>
    <w:p>
      <w:pPr>
        <w:pStyle w:val="5"/>
        <w:keepNext w:val="0"/>
        <w:keepLines w:val="0"/>
        <w:numPr>
          <w:ilvl w:val="0"/>
          <w:numId w:val="0"/>
        </w:numPr>
        <w:wordWrap w:val="0"/>
        <w:spacing w:line="580" w:lineRule="exact"/>
        <w:ind w:firstLine="632" w:firstLineChars="200"/>
        <w:rPr>
          <w:rFonts w:ascii="Times New Roman" w:hAnsi="Times New Roman" w:cs="Times New Roman"/>
          <w:b w:val="0"/>
          <w:bCs/>
        </w:rPr>
      </w:pPr>
      <w:r>
        <w:rPr>
          <w:rFonts w:ascii="Times New Roman" w:hAnsi="Times New Roman" w:cs="Times New Roman"/>
          <w:b w:val="0"/>
          <w:bCs/>
        </w:rPr>
        <w:t>三、鉴别依据</w:t>
      </w:r>
    </w:p>
    <w:p>
      <w:pPr>
        <w:pStyle w:val="19"/>
        <w:wordWrap w:val="0"/>
        <w:spacing w:line="580" w:lineRule="exact"/>
        <w:ind w:firstLine="632" w:firstLineChars="200"/>
        <w:rPr>
          <w:rFonts w:eastAsia="仿宋_GB2312"/>
          <w:bCs/>
        </w:rPr>
      </w:pPr>
      <w:r>
        <w:rPr>
          <w:rFonts w:ascii="Times New Roman" w:hAnsi="Times New Roman" w:eastAsia="仿宋_GB2312" w:cs="Times New Roman"/>
        </w:rPr>
        <w:t>根据</w:t>
      </w:r>
      <w:r>
        <w:rPr>
          <w:rFonts w:hint="eastAsia" w:ascii="Times New Roman" w:hAnsi="Times New Roman" w:eastAsia="仿宋_GB2312" w:cs="Times New Roman"/>
        </w:rPr>
        <w:t>《中共中央办公厅、国务院办公厅印发&lt;关于进一步减轻义务教育阶段学生作业负担和校外培训负担的意见&gt;的通知》（中办发</w:t>
      </w:r>
      <w:r>
        <w:rPr>
          <w:rFonts w:ascii="Times New Roman" w:hAnsi="Times New Roman" w:eastAsia="仿宋_GB2312" w:cs="Times New Roman"/>
        </w:rPr>
        <w:t>〔2021〕</w:t>
      </w:r>
      <w:r>
        <w:rPr>
          <w:rFonts w:hint="eastAsia" w:ascii="Times New Roman" w:hAnsi="Times New Roman" w:eastAsia="仿宋_GB2312" w:cs="Times New Roman"/>
        </w:rPr>
        <w:t>40号）</w:t>
      </w:r>
      <w:r>
        <w:rPr>
          <w:rFonts w:ascii="Times New Roman" w:hAnsi="Times New Roman" w:eastAsia="仿宋_GB2312" w:cs="Times New Roman"/>
        </w:rPr>
        <w:t>《教育部办公厅关于进一步明确义务教育阶段校外培训学科类和非学科类范围的通知》</w:t>
      </w:r>
      <w:r>
        <w:rPr>
          <w:rFonts w:hint="eastAsia" w:ascii="Times New Roman" w:hAnsi="Times New Roman" w:eastAsia="仿宋_GB2312" w:cs="Times New Roman"/>
        </w:rPr>
        <w:t>（</w:t>
      </w:r>
      <w:r>
        <w:rPr>
          <w:rFonts w:ascii="Times New Roman" w:hAnsi="Times New Roman" w:eastAsia="仿宋_GB2312" w:cs="Times New Roman"/>
        </w:rPr>
        <w:t>教监管厅函〔2021〕</w:t>
      </w:r>
      <w:r>
        <w:rPr>
          <w:rFonts w:hint="eastAsia" w:ascii="Times New Roman" w:hAnsi="Times New Roman" w:eastAsia="仿宋_GB2312" w:cs="Times New Roman"/>
        </w:rPr>
        <w:t>3</w:t>
      </w:r>
      <w:r>
        <w:rPr>
          <w:rFonts w:ascii="Times New Roman" w:hAnsi="Times New Roman" w:eastAsia="仿宋_GB2312" w:cs="Times New Roman"/>
        </w:rPr>
        <w:t>号</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w:t>
      </w:r>
      <w:r>
        <w:rPr>
          <w:rFonts w:hint="eastAsia" w:eastAsia="仿宋_GB2312"/>
        </w:rPr>
        <w:t>教育部办公厅关于印发&lt;义务教育阶段校外培训项目分类鉴别指南&gt;的通知》</w:t>
      </w:r>
      <w:r>
        <w:rPr>
          <w:rFonts w:hint="eastAsia" w:ascii="Times New Roman" w:hAnsi="Times New Roman" w:eastAsia="仿宋_GB2312" w:cs="Times New Roman"/>
        </w:rPr>
        <w:t>（</w:t>
      </w:r>
      <w:r>
        <w:rPr>
          <w:rFonts w:ascii="Times New Roman" w:hAnsi="Times New Roman" w:eastAsia="仿宋_GB2312" w:cs="Times New Roman"/>
        </w:rPr>
        <w:t>教监管厅函〔2021〕</w:t>
      </w:r>
      <w:r>
        <w:rPr>
          <w:rFonts w:hint="eastAsia" w:ascii="Times New Roman" w:hAnsi="Times New Roman" w:eastAsia="仿宋_GB2312" w:cs="Times New Roman"/>
        </w:rPr>
        <w:t>16</w:t>
      </w:r>
      <w:r>
        <w:rPr>
          <w:rFonts w:ascii="Times New Roman" w:hAnsi="Times New Roman" w:eastAsia="仿宋_GB2312" w:cs="Times New Roman"/>
        </w:rPr>
        <w:t>号</w:t>
      </w:r>
      <w:r>
        <w:rPr>
          <w:rFonts w:hint="eastAsia" w:ascii="Times New Roman" w:hAnsi="Times New Roman" w:eastAsia="仿宋_GB2312" w:cs="Times New Roman"/>
        </w:rPr>
        <w:t>）</w:t>
      </w:r>
      <w:r>
        <w:rPr>
          <w:rFonts w:hint="eastAsia" w:eastAsia="仿宋_GB2312"/>
        </w:rPr>
        <w:t>、</w:t>
      </w:r>
      <w:r>
        <w:rPr>
          <w:rFonts w:eastAsia="仿宋_GB2312"/>
        </w:rPr>
        <w:t>《</w:t>
      </w:r>
      <w:r>
        <w:rPr>
          <w:rFonts w:hint="eastAsia" w:eastAsia="仿宋_GB2312"/>
          <w:bCs/>
        </w:rPr>
        <w:t>福建省教育厅关于印发&lt;福建省中小学生校外培训项目分类鉴别指南&gt;的通知</w:t>
      </w:r>
      <w:r>
        <w:rPr>
          <w:rFonts w:eastAsia="仿宋_GB2312"/>
        </w:rPr>
        <w:t>》</w:t>
      </w:r>
      <w:r>
        <w:rPr>
          <w:rFonts w:hint="eastAsia" w:ascii="Times New Roman" w:hAnsi="Times New Roman" w:eastAsia="仿宋_GB2312" w:cs="Times New Roman"/>
        </w:rPr>
        <w:t>中小学</w:t>
      </w:r>
      <w:r>
        <w:rPr>
          <w:rFonts w:ascii="Times New Roman" w:hAnsi="Times New Roman" w:eastAsia="仿宋_GB2312" w:cs="Times New Roman"/>
        </w:rPr>
        <w:t>国家课程方案和课程标准等文件规定，结合校外培训的实际情况，</w:t>
      </w:r>
      <w:r>
        <w:rPr>
          <w:rFonts w:ascii="Times New Roman" w:hAnsi="Times New Roman" w:eastAsia="仿宋_GB2312" w:cs="Times New Roman"/>
          <w:kern w:val="0"/>
        </w:rPr>
        <w:t>对培训项目</w:t>
      </w:r>
      <w:r>
        <w:rPr>
          <w:rFonts w:ascii="Times New Roman" w:hAnsi="Times New Roman" w:eastAsia="仿宋_GB2312" w:cs="Times New Roman"/>
        </w:rPr>
        <w:t>类别进行鉴别。主要从培训目的、培训内容、培训方式、评价方式等维度进行综合考量，如符合以下特征，即判定为学科类培训项目。</w:t>
      </w:r>
    </w:p>
    <w:p>
      <w:pPr>
        <w:wordWrap w:val="0"/>
        <w:spacing w:line="580" w:lineRule="exact"/>
        <w:ind w:firstLine="632" w:firstLineChars="200"/>
        <w:rPr>
          <w:rFonts w:eastAsia="仿宋_GB2312"/>
          <w:u w:val="single"/>
        </w:rPr>
      </w:pPr>
      <w:r>
        <w:rPr>
          <w:rFonts w:hint="eastAsia" w:eastAsia="楷体"/>
          <w:b/>
          <w:bCs/>
        </w:rPr>
        <w:t>（一）</w:t>
      </w:r>
      <w:r>
        <w:rPr>
          <w:rFonts w:eastAsia="楷体"/>
          <w:b/>
          <w:bCs/>
        </w:rPr>
        <w:t>培训目的：</w:t>
      </w:r>
      <w:r>
        <w:rPr>
          <w:rFonts w:eastAsia="仿宋_GB2312"/>
        </w:rPr>
        <w:t>以学科知识与技能培训为导向，主要为提升</w:t>
      </w:r>
      <w:r>
        <w:rPr>
          <w:rFonts w:hint="eastAsia" w:eastAsia="仿宋_GB2312"/>
        </w:rPr>
        <w:t>学科学习</w:t>
      </w:r>
      <w:r>
        <w:rPr>
          <w:rFonts w:eastAsia="仿宋_GB2312"/>
        </w:rPr>
        <w:t>成绩服务。</w:t>
      </w:r>
    </w:p>
    <w:p>
      <w:pPr>
        <w:wordWrap w:val="0"/>
        <w:spacing w:line="580" w:lineRule="exact"/>
        <w:ind w:firstLine="632" w:firstLineChars="200"/>
        <w:rPr>
          <w:rFonts w:eastAsia="仿宋_GB2312"/>
        </w:rPr>
      </w:pPr>
      <w:r>
        <w:rPr>
          <w:rFonts w:eastAsia="楷体"/>
          <w:b/>
          <w:bCs/>
        </w:rPr>
        <w:t>（二）培训内容：</w:t>
      </w:r>
      <w:r>
        <w:rPr>
          <w:rFonts w:eastAsia="仿宋_GB2312"/>
        </w:rPr>
        <w:t>主要涉及道德与法治、语文、历史、地理、数学、外语（英语、日语、俄语）、物理、化学、生物等学科学习内容。</w:t>
      </w:r>
    </w:p>
    <w:p>
      <w:pPr>
        <w:wordWrap w:val="0"/>
        <w:spacing w:line="580" w:lineRule="exact"/>
        <w:ind w:firstLine="632" w:firstLineChars="200"/>
        <w:rPr>
          <w:rFonts w:eastAsia="仿宋_GB2312"/>
        </w:rPr>
      </w:pPr>
      <w:r>
        <w:rPr>
          <w:rFonts w:eastAsia="楷体"/>
          <w:b/>
          <w:bCs/>
        </w:rPr>
        <w:t>（三）培训方式：</w:t>
      </w:r>
      <w:r>
        <w:rPr>
          <w:rFonts w:eastAsia="仿宋_GB2312"/>
        </w:rPr>
        <w:t>重在进行学科知识讲解、听说读写算等学科能力训练，以预习、授课和巩固</w:t>
      </w:r>
      <w:r>
        <w:rPr>
          <w:rFonts w:hint="eastAsia" w:eastAsia="仿宋_GB2312"/>
        </w:rPr>
        <w:t>练习</w:t>
      </w:r>
      <w:r>
        <w:rPr>
          <w:rFonts w:eastAsia="仿宋_GB2312"/>
        </w:rPr>
        <w:t>等为主要过程，以教师（包括虚拟者、</w:t>
      </w:r>
      <w:r>
        <w:rPr>
          <w:rFonts w:hint="eastAsia" w:eastAsia="仿宋_GB2312"/>
        </w:rPr>
        <w:t>人工智能</w:t>
      </w:r>
      <w:r>
        <w:rPr>
          <w:rFonts w:eastAsia="仿宋_GB2312"/>
        </w:rPr>
        <w:t>等）讲授示范、互动等为主要形式。</w:t>
      </w:r>
    </w:p>
    <w:p>
      <w:pPr>
        <w:wordWrap w:val="0"/>
        <w:spacing w:line="580" w:lineRule="exact"/>
        <w:ind w:firstLine="632" w:firstLineChars="200"/>
        <w:rPr>
          <w:rStyle w:val="18"/>
          <w:rFonts w:eastAsia="仿宋_GB2312"/>
          <w:bCs/>
        </w:rPr>
      </w:pPr>
      <w:r>
        <w:rPr>
          <w:rFonts w:eastAsia="楷体"/>
          <w:b/>
          <w:bCs/>
        </w:rPr>
        <w:t>（四）结果评价：</w:t>
      </w:r>
      <w:r>
        <w:rPr>
          <w:rFonts w:eastAsia="仿宋_GB2312"/>
        </w:rPr>
        <w:t>对学生的评价</w:t>
      </w:r>
      <w:r>
        <w:rPr>
          <w:rStyle w:val="18"/>
          <w:rFonts w:eastAsia="仿宋_GB2312"/>
          <w:bCs/>
        </w:rPr>
        <w:t>侧重甄别与选拔，以学习成绩、考试结果等作为主要评价依据。</w:t>
      </w:r>
    </w:p>
    <w:p>
      <w:pPr>
        <w:pStyle w:val="5"/>
        <w:keepNext w:val="0"/>
        <w:keepLines w:val="0"/>
        <w:numPr>
          <w:ilvl w:val="0"/>
          <w:numId w:val="0"/>
        </w:numPr>
        <w:wordWrap w:val="0"/>
        <w:spacing w:line="580" w:lineRule="exact"/>
        <w:ind w:firstLine="632" w:firstLineChars="200"/>
        <w:rPr>
          <w:rFonts w:ascii="Times New Roman" w:hAnsi="Times New Roman" w:cs="Times New Roman"/>
          <w:b w:val="0"/>
          <w:bCs/>
        </w:rPr>
      </w:pPr>
      <w:r>
        <w:rPr>
          <w:rFonts w:hint="eastAsia" w:ascii="Times New Roman" w:hAnsi="Times New Roman" w:cs="Times New Roman"/>
          <w:b w:val="0"/>
          <w:bCs/>
        </w:rPr>
        <w:t>四、鉴别程序</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（一）分级建立鉴别专家委员会。</w:t>
      </w:r>
      <w:r>
        <w:rPr>
          <w:rFonts w:hint="eastAsia" w:ascii="仿宋_GB2312" w:hAnsi="仿宋_GB2312" w:eastAsia="仿宋_GB2312" w:cs="仿宋_GB2312"/>
          <w:kern w:val="2"/>
          <w:sz w:val="32"/>
          <w:szCs w:val="32"/>
        </w:rPr>
        <w:t>市级由</w:t>
      </w:r>
      <w:r>
        <w:rPr>
          <w:rFonts w:ascii="仿宋_GB2312" w:hAnsi="仿宋_GB2312" w:eastAsia="仿宋_GB2312" w:cs="仿宋_GB2312"/>
          <w:kern w:val="2"/>
          <w:sz w:val="32"/>
          <w:szCs w:val="32"/>
        </w:rPr>
        <w:t>市教育局</w:t>
      </w:r>
      <w:r>
        <w:rPr>
          <w:rFonts w:hint="eastAsia" w:ascii="仿宋_GB2312" w:hAnsi="仿宋_GB2312" w:eastAsia="仿宋_GB2312" w:cs="仿宋_GB2312"/>
          <w:kern w:val="2"/>
          <w:sz w:val="32"/>
          <w:szCs w:val="32"/>
        </w:rPr>
        <w:t>委托福州市</w:t>
      </w:r>
      <w:r>
        <w:rPr>
          <w:rFonts w:ascii="仿宋_GB2312" w:hAnsi="仿宋_GB2312" w:eastAsia="仿宋_GB2312" w:cs="仿宋_GB2312"/>
          <w:kern w:val="2"/>
          <w:sz w:val="32"/>
          <w:szCs w:val="32"/>
        </w:rPr>
        <w:t>教育研究院</w:t>
      </w:r>
      <w:r>
        <w:rPr>
          <w:rFonts w:hint="eastAsia" w:ascii="仿宋_GB2312" w:hAnsi="仿宋_GB2312" w:eastAsia="仿宋_GB2312" w:cs="仿宋_GB2312"/>
          <w:kern w:val="2"/>
          <w:sz w:val="32"/>
          <w:szCs w:val="32"/>
        </w:rPr>
        <w:t>成立鉴别专家委员会并负责日常鉴定工作。各县（市）</w:t>
      </w:r>
      <w:r>
        <w:rPr>
          <w:rFonts w:ascii="仿宋_GB2312" w:hAnsi="仿宋_GB2312" w:eastAsia="仿宋_GB2312" w:cs="仿宋_GB2312"/>
          <w:kern w:val="2"/>
          <w:sz w:val="32"/>
          <w:szCs w:val="32"/>
        </w:rPr>
        <w:t>区</w:t>
      </w:r>
      <w:r>
        <w:rPr>
          <w:rFonts w:hint="eastAsia" w:ascii="仿宋_GB2312" w:hAnsi="仿宋_GB2312" w:eastAsia="仿宋_GB2312" w:cs="仿宋_GB2312"/>
          <w:kern w:val="2"/>
          <w:sz w:val="32"/>
          <w:szCs w:val="32"/>
        </w:rPr>
        <w:t>教育行政部门可参照组建鉴别专家委员会，并安排必要的经费保障。委员会成员</w:t>
      </w:r>
      <w:r>
        <w:rPr>
          <w:rFonts w:ascii="Times New Roman" w:hAnsi="Times New Roman" w:eastAsia="仿宋_GB2312"/>
          <w:sz w:val="32"/>
          <w:szCs w:val="32"/>
        </w:rPr>
        <w:t>应包括相关学科、课程、教学等方面专家</w:t>
      </w:r>
      <w:r>
        <w:rPr>
          <w:rFonts w:hint="eastAsia" w:ascii="仿宋_GB2312" w:hAnsi="仿宋_GB2312" w:eastAsia="仿宋_GB2312" w:cs="仿宋_GB2312"/>
          <w:kern w:val="2"/>
          <w:sz w:val="32"/>
          <w:szCs w:val="32"/>
        </w:rPr>
        <w:t>，文旅、体育、科技和人社等部门分别推荐的文化艺术类、体育类、科技类、劳动技术类培训机构的行业专家，以及法律顾问等人员参与组成。</w:t>
      </w:r>
      <w:r>
        <w:rPr>
          <w:rFonts w:ascii="仿宋_GB2312" w:hAnsi="仿宋_GB2312" w:eastAsia="仿宋_GB2312" w:cs="仿宋_GB2312"/>
          <w:kern w:val="2"/>
          <w:sz w:val="32"/>
          <w:szCs w:val="32"/>
        </w:rPr>
        <w:t>专家应当符合以下条件：</w:t>
      </w:r>
    </w:p>
    <w:p>
      <w:pPr>
        <w:pStyle w:val="2"/>
        <w:spacing w:line="600" w:lineRule="exact"/>
        <w:ind w:firstLine="632"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w:t>
      </w:r>
      <w:r>
        <w:rPr>
          <w:rFonts w:ascii="MS Mincho" w:hAnsi="MS Mincho" w:eastAsia="MS Mincho" w:cs="MS Mincho"/>
          <w:color w:val="121212"/>
          <w:sz w:val="27"/>
          <w:szCs w:val="27"/>
          <w:shd w:val="clear" w:color="auto" w:fill="FFFFFF"/>
        </w:rPr>
        <w:t xml:space="preserve"> </w:t>
      </w:r>
      <w:r>
        <w:rPr>
          <w:rFonts w:ascii="仿宋_GB2312" w:hAnsi="仿宋_GB2312" w:eastAsia="仿宋_GB2312" w:cs="仿宋_GB2312"/>
          <w:sz w:val="32"/>
          <w:szCs w:val="32"/>
        </w:rPr>
        <w:t>政治立场坚定，正确理解党的教育方针，能够从中华民族伟大复兴的历史高度深刻领悟中央政策的重大意义；</w:t>
      </w:r>
    </w:p>
    <w:p>
      <w:pPr>
        <w:pStyle w:val="2"/>
        <w:spacing w:line="600" w:lineRule="exact"/>
        <w:ind w:firstLine="632"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ascii="MS Mincho" w:hAnsi="MS Mincho" w:eastAsia="MS Mincho" w:cs="MS Mincho"/>
          <w:color w:val="121212"/>
          <w:sz w:val="27"/>
          <w:szCs w:val="27"/>
          <w:shd w:val="clear" w:color="auto" w:fill="FFFFFF"/>
        </w:rPr>
        <w:t xml:space="preserve"> </w:t>
      </w:r>
      <w:r>
        <w:rPr>
          <w:rFonts w:ascii="仿宋_GB2312" w:hAnsi="仿宋_GB2312" w:eastAsia="仿宋_GB2312" w:cs="仿宋_GB2312"/>
          <w:sz w:val="32"/>
          <w:szCs w:val="32"/>
        </w:rPr>
        <w:t>遵纪守法，有良好的品行、社会形象和师德师风；</w:t>
      </w:r>
    </w:p>
    <w:p>
      <w:pPr>
        <w:pStyle w:val="2"/>
        <w:spacing w:line="600" w:lineRule="exact"/>
        <w:ind w:firstLine="632"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ascii="MS Mincho" w:hAnsi="MS Mincho" w:eastAsia="MS Mincho" w:cs="MS Mincho"/>
          <w:color w:val="121212"/>
          <w:sz w:val="27"/>
          <w:szCs w:val="27"/>
          <w:shd w:val="clear" w:color="auto" w:fill="FFFFFF"/>
        </w:rPr>
        <w:t xml:space="preserve"> </w:t>
      </w:r>
      <w:r>
        <w:rPr>
          <w:rFonts w:ascii="仿宋_GB2312" w:hAnsi="仿宋_GB2312" w:eastAsia="仿宋_GB2312" w:cs="仿宋_GB2312"/>
          <w:sz w:val="32"/>
          <w:szCs w:val="32"/>
        </w:rPr>
        <w:t>教育方面的专家应当准确理解相关的政策法规，熟悉课程方案和相关的学科课程标准及教材，具有副高级以上专业技术职称；</w:t>
      </w:r>
    </w:p>
    <w:p>
      <w:pPr>
        <w:pStyle w:val="2"/>
        <w:spacing w:line="600" w:lineRule="exact"/>
        <w:ind w:firstLine="632"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ascii="MS Mincho" w:hAnsi="MS Mincho" w:eastAsia="MS Mincho" w:cs="MS Mincho"/>
          <w:color w:val="121212"/>
          <w:sz w:val="27"/>
          <w:szCs w:val="27"/>
          <w:shd w:val="clear" w:color="auto" w:fill="FFFFFF"/>
        </w:rPr>
        <w:t xml:space="preserve"> </w:t>
      </w:r>
      <w:r>
        <w:rPr>
          <w:rFonts w:ascii="仿宋_GB2312" w:hAnsi="仿宋_GB2312" w:eastAsia="仿宋_GB2312" w:cs="仿宋_GB2312"/>
          <w:sz w:val="32"/>
          <w:szCs w:val="32"/>
        </w:rPr>
        <w:t>法律方面的专家应当准确理解和把握行政管理方面的法律法规，熟悉</w:t>
      </w:r>
      <w:r>
        <w:rPr>
          <w:rFonts w:hint="eastAsia" w:ascii="仿宋_GB2312" w:hAnsi="仿宋_GB2312" w:eastAsia="仿宋_GB2312" w:cs="仿宋_GB2312"/>
          <w:sz w:val="32"/>
          <w:szCs w:val="32"/>
        </w:rPr>
        <w:t>福州</w:t>
      </w:r>
      <w:r>
        <w:rPr>
          <w:rFonts w:ascii="仿宋_GB2312" w:hAnsi="仿宋_GB2312" w:eastAsia="仿宋_GB2312" w:cs="仿宋_GB2312"/>
          <w:sz w:val="32"/>
          <w:szCs w:val="32"/>
        </w:rPr>
        <w:t>基层治理情况；</w:t>
      </w:r>
    </w:p>
    <w:p>
      <w:pPr>
        <w:pStyle w:val="2"/>
        <w:spacing w:line="600" w:lineRule="exact"/>
        <w:ind w:firstLine="632"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5.</w:t>
      </w:r>
      <w:r>
        <w:rPr>
          <w:rFonts w:ascii="MS Mincho" w:hAnsi="MS Mincho" w:eastAsia="MS Mincho" w:cs="MS Mincho"/>
          <w:color w:val="121212"/>
          <w:sz w:val="27"/>
          <w:szCs w:val="27"/>
          <w:shd w:val="clear" w:color="auto" w:fill="FFFFFF"/>
        </w:rPr>
        <w:t xml:space="preserve"> </w:t>
      </w:r>
      <w:r>
        <w:rPr>
          <w:rFonts w:ascii="仿宋_GB2312" w:hAnsi="仿宋_GB2312" w:eastAsia="仿宋_GB2312" w:cs="仿宋_GB2312"/>
          <w:sz w:val="32"/>
          <w:szCs w:val="32"/>
        </w:rPr>
        <w:t>未在待鉴定校外培训机构中兼职。</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（二）机构自主提出鉴别申请。</w:t>
      </w:r>
      <w:r>
        <w:rPr>
          <w:rFonts w:hint="eastAsia" w:ascii="仿宋_GB2312" w:hAnsi="仿宋_GB2312" w:eastAsia="仿宋_GB2312" w:cs="仿宋_GB2312"/>
          <w:kern w:val="2"/>
          <w:sz w:val="32"/>
          <w:szCs w:val="32"/>
        </w:rPr>
        <w:t>不明确属于学科类或者非学科类的校外培训机构可向属地教育行政部门提交《校外培训机构学科和非学科类培训项目鉴别申请表》（见附件）及相关佐证材料，申请鉴别确认。培训机构应当如实报送鉴别材料，确保材料真实准确、与今后办学行为相符，对隐瞒情况或提供虚假材料、对外宣传与实际培训项目类别不一致的，依法依规严肃处置。</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（三）属地专家委员会实施鉴别。</w:t>
      </w:r>
      <w:r>
        <w:rPr>
          <w:rFonts w:hint="eastAsia" w:ascii="仿宋_GB2312" w:hAnsi="仿宋_GB2312" w:eastAsia="仿宋_GB2312" w:cs="仿宋_GB2312"/>
          <w:kern w:val="2"/>
          <w:sz w:val="32"/>
          <w:szCs w:val="32"/>
        </w:rPr>
        <w:t>培训机构所在县（市）区教育行政部门牵头，组织专家委员会对培训机构提交的申请材料进行审核，</w:t>
      </w:r>
      <w:r>
        <w:rPr>
          <w:rFonts w:ascii="Times New Roman" w:hAnsi="Times New Roman" w:eastAsia="仿宋_GB2312"/>
          <w:sz w:val="32"/>
          <w:szCs w:val="32"/>
        </w:rPr>
        <w:t>可通过资料审查、实地查看、课堂观察、人员访谈等多种方式，</w:t>
      </w:r>
      <w:r>
        <w:rPr>
          <w:rFonts w:hint="eastAsia" w:ascii="Times New Roman" w:hAnsi="Times New Roman" w:eastAsia="仿宋_GB2312"/>
          <w:sz w:val="32"/>
          <w:szCs w:val="32"/>
        </w:rPr>
        <w:t>结合</w:t>
      </w:r>
      <w:r>
        <w:rPr>
          <w:rFonts w:ascii="Times New Roman" w:hAnsi="Times New Roman" w:eastAsia="仿宋_GB2312"/>
          <w:sz w:val="32"/>
          <w:szCs w:val="32"/>
        </w:rPr>
        <w:t>培训目的、</w:t>
      </w:r>
      <w:r>
        <w:rPr>
          <w:rFonts w:hint="eastAsia" w:ascii="Times New Roman" w:hAnsi="Times New Roman" w:eastAsia="仿宋_GB2312"/>
          <w:sz w:val="32"/>
          <w:szCs w:val="32"/>
        </w:rPr>
        <w:t>对象、</w:t>
      </w:r>
      <w:r>
        <w:rPr>
          <w:rFonts w:ascii="Times New Roman" w:hAnsi="Times New Roman" w:eastAsia="仿宋_GB2312"/>
          <w:sz w:val="32"/>
          <w:szCs w:val="32"/>
        </w:rPr>
        <w:t>内容、</w:t>
      </w:r>
      <w:r>
        <w:rPr>
          <w:rFonts w:hint="eastAsia" w:ascii="Times New Roman" w:hAnsi="Times New Roman" w:eastAsia="仿宋_GB2312"/>
          <w:sz w:val="32"/>
          <w:szCs w:val="32"/>
        </w:rPr>
        <w:t>培训</w:t>
      </w:r>
      <w:r>
        <w:rPr>
          <w:rFonts w:ascii="Times New Roman" w:hAnsi="Times New Roman" w:eastAsia="仿宋_GB2312"/>
          <w:sz w:val="32"/>
          <w:szCs w:val="32"/>
        </w:rPr>
        <w:t>方式、评价</w:t>
      </w:r>
      <w:r>
        <w:rPr>
          <w:rFonts w:hint="eastAsia" w:ascii="Times New Roman" w:hAnsi="Times New Roman" w:eastAsia="仿宋_GB2312"/>
          <w:sz w:val="32"/>
          <w:szCs w:val="32"/>
        </w:rPr>
        <w:t>方式、</w:t>
      </w:r>
      <w:r>
        <w:rPr>
          <w:rFonts w:hint="eastAsia" w:ascii="仿宋_GB2312" w:hAnsi="仿宋_GB2312" w:eastAsia="仿宋_GB2312" w:cs="仿宋_GB2312"/>
          <w:kern w:val="2"/>
          <w:sz w:val="32"/>
          <w:szCs w:val="32"/>
        </w:rPr>
        <w:t>所使用的教学资源或培训材料</w:t>
      </w:r>
      <w:r>
        <w:rPr>
          <w:rFonts w:ascii="Times New Roman" w:hAnsi="Times New Roman" w:eastAsia="仿宋_GB2312"/>
          <w:sz w:val="32"/>
          <w:szCs w:val="32"/>
        </w:rPr>
        <w:t>等具体情况</w:t>
      </w:r>
      <w:r>
        <w:rPr>
          <w:rFonts w:hint="eastAsia" w:ascii="Times New Roman" w:hAnsi="Times New Roman" w:eastAsia="仿宋_GB2312"/>
          <w:sz w:val="32"/>
          <w:szCs w:val="32"/>
        </w:rPr>
        <w:t>，进行综合研判，提出</w:t>
      </w:r>
      <w:r>
        <w:rPr>
          <w:rFonts w:hint="eastAsia" w:ascii="仿宋_GB2312" w:hAnsi="仿宋_GB2312" w:eastAsia="仿宋_GB2312" w:cs="仿宋_GB2312"/>
          <w:kern w:val="2"/>
          <w:sz w:val="32"/>
          <w:szCs w:val="32"/>
        </w:rPr>
        <w:t>初步鉴别意见，经专家委员会集体审议通过后形成鉴定报告，报本级有关职能部门。</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（四）鉴别结果备案和审阅。</w:t>
      </w:r>
      <w:r>
        <w:rPr>
          <w:rFonts w:hint="eastAsia" w:ascii="仿宋_GB2312" w:hAnsi="仿宋_GB2312" w:eastAsia="仿宋_GB2312" w:cs="仿宋_GB2312"/>
          <w:kern w:val="2"/>
          <w:sz w:val="32"/>
          <w:szCs w:val="32"/>
        </w:rPr>
        <w:t>专家作出的鉴别报告作为相关职能部门的重要工作参考，需明确“学科类”或者“非学科类”，并注明参与鉴别的专家姓名及其专业职务。县（市）区教育行政部门鉴别结果应报市教育局备案。</w:t>
      </w:r>
    </w:p>
    <w:p>
      <w:pPr>
        <w:pStyle w:val="2"/>
        <w:ind w:firstLine="632" w:firstLineChars="200"/>
        <w:jc w:val="both"/>
        <w:rPr>
          <w:rFonts w:ascii="黑体" w:hAnsi="黑体" w:eastAsia="黑体" w:cs="黑体"/>
          <w:kern w:val="2"/>
          <w:sz w:val="32"/>
          <w:szCs w:val="32"/>
        </w:rPr>
      </w:pPr>
      <w:r>
        <w:rPr>
          <w:rFonts w:hint="eastAsia" w:ascii="黑体" w:hAnsi="黑体" w:eastAsia="黑体" w:cs="黑体"/>
          <w:kern w:val="2"/>
          <w:sz w:val="32"/>
          <w:szCs w:val="32"/>
        </w:rPr>
        <w:t>五、工作要求</w:t>
      </w:r>
    </w:p>
    <w:p>
      <w:pPr>
        <w:pStyle w:val="2"/>
        <w:spacing w:line="600" w:lineRule="exact"/>
        <w:ind w:firstLine="316"/>
        <w:jc w:val="both"/>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楷体_GB2312" w:hAnsi="楷体_GB2312" w:eastAsia="楷体_GB2312" w:cs="楷体_GB2312"/>
          <w:b/>
          <w:bCs/>
          <w:kern w:val="2"/>
          <w:sz w:val="32"/>
          <w:szCs w:val="32"/>
        </w:rPr>
        <w:t>（一）</w:t>
      </w:r>
      <w:r>
        <w:rPr>
          <w:rFonts w:ascii="楷体_GB2312" w:hAnsi="楷体_GB2312" w:eastAsia="楷体_GB2312" w:cs="楷体_GB2312"/>
          <w:b/>
          <w:bCs/>
          <w:kern w:val="2"/>
          <w:sz w:val="32"/>
          <w:szCs w:val="32"/>
        </w:rPr>
        <w:t>坚持统一标准</w:t>
      </w:r>
      <w:r>
        <w:rPr>
          <w:rFonts w:hint="eastAsia" w:ascii="楷体_GB2312" w:hAnsi="楷体_GB2312" w:eastAsia="楷体_GB2312" w:cs="楷体_GB2312"/>
          <w:b/>
          <w:bCs/>
          <w:kern w:val="2"/>
          <w:sz w:val="32"/>
          <w:szCs w:val="32"/>
        </w:rPr>
        <w:t>。</w:t>
      </w:r>
      <w:r>
        <w:rPr>
          <w:rFonts w:hint="eastAsia" w:ascii="仿宋_GB2312" w:hAnsi="仿宋_GB2312" w:eastAsia="仿宋_GB2312" w:cs="仿宋_GB2312"/>
          <w:kern w:val="2"/>
          <w:sz w:val="32"/>
          <w:szCs w:val="32"/>
        </w:rPr>
        <w:t>鉴别工作应坚持统一标准、分级推进的原则。本通知发布后，各</w:t>
      </w:r>
      <w:r>
        <w:rPr>
          <w:rFonts w:ascii="仿宋_GB2312" w:hAnsi="仿宋_GB2312" w:eastAsia="仿宋_GB2312" w:cs="仿宋_GB2312"/>
          <w:kern w:val="2"/>
          <w:sz w:val="32"/>
          <w:szCs w:val="32"/>
        </w:rPr>
        <w:t>县（市）区</w:t>
      </w:r>
      <w:r>
        <w:rPr>
          <w:rFonts w:hint="eastAsia" w:ascii="仿宋_GB2312" w:hAnsi="仿宋_GB2312" w:eastAsia="仿宋_GB2312" w:cs="仿宋_GB2312"/>
          <w:kern w:val="2"/>
          <w:sz w:val="32"/>
          <w:szCs w:val="32"/>
        </w:rPr>
        <w:t>应抓紧时间研制鉴别工作方案，并报</w:t>
      </w:r>
      <w:r>
        <w:rPr>
          <w:rFonts w:ascii="仿宋_GB2312" w:hAnsi="仿宋_GB2312" w:eastAsia="仿宋_GB2312" w:cs="仿宋_GB2312"/>
          <w:kern w:val="2"/>
          <w:sz w:val="32"/>
          <w:szCs w:val="32"/>
        </w:rPr>
        <w:t>市教育局</w:t>
      </w:r>
      <w:r>
        <w:rPr>
          <w:rFonts w:hint="eastAsia" w:ascii="仿宋_GB2312" w:hAnsi="仿宋_GB2312" w:eastAsia="仿宋_GB2312" w:cs="仿宋_GB2312"/>
          <w:kern w:val="2"/>
          <w:sz w:val="32"/>
          <w:szCs w:val="32"/>
        </w:rPr>
        <w:t>备案后实施，标准与大多数地市不一致的要及时修正，确保全市标准统一。各县（市）区应在市</w:t>
      </w:r>
      <w:r>
        <w:rPr>
          <w:rFonts w:ascii="仿宋_GB2312" w:hAnsi="仿宋_GB2312" w:eastAsia="仿宋_GB2312" w:cs="仿宋_GB2312"/>
          <w:kern w:val="2"/>
          <w:sz w:val="32"/>
          <w:szCs w:val="32"/>
        </w:rPr>
        <w:t>级</w:t>
      </w:r>
      <w:r>
        <w:rPr>
          <w:rFonts w:hint="eastAsia" w:ascii="仿宋_GB2312" w:hAnsi="仿宋_GB2312" w:eastAsia="仿宋_GB2312" w:cs="仿宋_GB2312"/>
          <w:kern w:val="2"/>
          <w:sz w:val="32"/>
          <w:szCs w:val="32"/>
        </w:rPr>
        <w:t>方案下发后，进一步研制细化的本地区工作方案，并报市</w:t>
      </w:r>
      <w:r>
        <w:rPr>
          <w:rFonts w:ascii="仿宋_GB2312" w:hAnsi="仿宋_GB2312" w:eastAsia="仿宋_GB2312" w:cs="仿宋_GB2312"/>
          <w:kern w:val="2"/>
          <w:sz w:val="32"/>
          <w:szCs w:val="32"/>
        </w:rPr>
        <w:t>教育局</w:t>
      </w:r>
      <w:r>
        <w:rPr>
          <w:rFonts w:hint="eastAsia" w:ascii="仿宋_GB2312" w:hAnsi="仿宋_GB2312" w:eastAsia="仿宋_GB2312" w:cs="仿宋_GB2312"/>
          <w:kern w:val="2"/>
          <w:sz w:val="32"/>
          <w:szCs w:val="32"/>
        </w:rPr>
        <w:t>备案后实施，</w:t>
      </w:r>
      <w:r>
        <w:rPr>
          <w:rFonts w:hint="eastAsia" w:ascii="Times New Roman" w:hAnsi="Times New Roman" w:eastAsia="仿宋_GB2312"/>
          <w:sz w:val="32"/>
          <w:szCs w:val="32"/>
        </w:rPr>
        <w:t>确保全市标准一致。</w:t>
      </w:r>
      <w:r>
        <w:rPr>
          <w:rFonts w:hint="eastAsia" w:ascii="仿宋_GB2312" w:hAnsi="仿宋_GB2312" w:eastAsia="仿宋_GB2312" w:cs="仿宋_GB2312"/>
          <w:kern w:val="2"/>
          <w:sz w:val="32"/>
          <w:szCs w:val="32"/>
        </w:rPr>
        <w:t>鉴别工作原则上由机构属地为主负责，在</w:t>
      </w:r>
      <w:r>
        <w:rPr>
          <w:rFonts w:hint="eastAsia" w:ascii="Times New Roman" w:hAnsi="Times New Roman" w:eastAsia="仿宋_GB2312"/>
          <w:sz w:val="32"/>
          <w:szCs w:val="32"/>
        </w:rPr>
        <w:t>出现较大争议或难以鉴别的个案时，</w:t>
      </w:r>
      <w:r>
        <w:rPr>
          <w:rFonts w:hint="eastAsia" w:ascii="仿宋_GB2312" w:hAnsi="仿宋_GB2312" w:eastAsia="仿宋_GB2312" w:cs="仿宋_GB2312"/>
          <w:kern w:val="2"/>
          <w:sz w:val="32"/>
          <w:szCs w:val="32"/>
        </w:rPr>
        <w:t>下级</w:t>
      </w:r>
      <w:r>
        <w:rPr>
          <w:rFonts w:hint="eastAsia" w:ascii="Times New Roman" w:hAnsi="Times New Roman" w:eastAsia="仿宋_GB2312"/>
          <w:sz w:val="32"/>
          <w:szCs w:val="32"/>
        </w:rPr>
        <w:t>教育行政部门可以提请上级教育行政部门进行研究裁决。</w:t>
      </w:r>
      <w:r>
        <w:rPr>
          <w:rFonts w:ascii="Times New Roman" w:hAnsi="Times New Roman" w:eastAsia="仿宋_GB2312"/>
          <w:sz w:val="32"/>
          <w:szCs w:val="32"/>
        </w:rPr>
        <w:t>在其他主管部门开展非学科类培训管理过程中，根据工作需要，</w:t>
      </w:r>
      <w:r>
        <w:rPr>
          <w:rFonts w:hint="eastAsia" w:ascii="Times New Roman" w:hAnsi="Times New Roman" w:eastAsia="仿宋_GB2312"/>
          <w:sz w:val="32"/>
          <w:szCs w:val="32"/>
        </w:rPr>
        <w:t>同级</w:t>
      </w:r>
      <w:r>
        <w:rPr>
          <w:rFonts w:ascii="Times New Roman" w:hAnsi="Times New Roman" w:eastAsia="仿宋_GB2312"/>
          <w:sz w:val="32"/>
          <w:szCs w:val="32"/>
        </w:rPr>
        <w:t>教育行政部门可协助提供有关培训项目分类鉴别意见，并对“学科类”鉴别有最终</w:t>
      </w:r>
      <w:r>
        <w:rPr>
          <w:rFonts w:hint="eastAsia" w:ascii="Times New Roman" w:hAnsi="Times New Roman" w:eastAsia="仿宋_GB2312"/>
          <w:sz w:val="32"/>
          <w:szCs w:val="32"/>
        </w:rPr>
        <w:t>决定</w:t>
      </w:r>
      <w:r>
        <w:rPr>
          <w:rFonts w:ascii="Times New Roman" w:hAnsi="Times New Roman" w:eastAsia="仿宋_GB2312"/>
          <w:sz w:val="32"/>
          <w:szCs w:val="32"/>
        </w:rPr>
        <w:t>权。</w:t>
      </w:r>
    </w:p>
    <w:p>
      <w:pPr>
        <w:pStyle w:val="19"/>
        <w:wordWrap w:val="0"/>
        <w:spacing w:line="580" w:lineRule="exact"/>
        <w:ind w:firstLine="632" w:firstLineChars="200"/>
        <w:rPr>
          <w:rFonts w:ascii="Times New Roman" w:hAnsi="Times New Roman" w:eastAsia="仿宋_GB2312" w:cs="Times New Roman"/>
        </w:rPr>
      </w:pPr>
      <w:r>
        <w:rPr>
          <w:rFonts w:hint="eastAsia" w:ascii="楷体_GB2312" w:hAnsi="楷体_GB2312" w:eastAsia="楷体_GB2312" w:cs="楷体_GB2312"/>
          <w:b/>
          <w:bCs/>
        </w:rPr>
        <w:t>（二）</w:t>
      </w:r>
      <w:r>
        <w:rPr>
          <w:rFonts w:ascii="楷体_GB2312" w:hAnsi="楷体_GB2312" w:eastAsia="楷体_GB2312" w:cs="楷体_GB2312"/>
          <w:b/>
          <w:bCs/>
        </w:rPr>
        <w:t>坚持</w:t>
      </w:r>
      <w:r>
        <w:rPr>
          <w:rFonts w:hint="eastAsia" w:ascii="楷体_GB2312" w:hAnsi="楷体_GB2312" w:eastAsia="楷体_GB2312" w:cs="楷体_GB2312"/>
          <w:b/>
          <w:bCs/>
        </w:rPr>
        <w:t>专业</w:t>
      </w:r>
      <w:r>
        <w:rPr>
          <w:rFonts w:ascii="楷体_GB2312" w:hAnsi="楷体_GB2312" w:eastAsia="楷体_GB2312" w:cs="楷体_GB2312"/>
          <w:b/>
          <w:bCs/>
        </w:rPr>
        <w:t>客观</w:t>
      </w:r>
      <w:r>
        <w:rPr>
          <w:rFonts w:hint="eastAsia" w:ascii="楷体_GB2312" w:hAnsi="楷体_GB2312" w:eastAsia="楷体_GB2312" w:cs="楷体_GB2312"/>
          <w:b/>
          <w:bCs/>
        </w:rPr>
        <w:t>。</w:t>
      </w:r>
      <w:r>
        <w:rPr>
          <w:rFonts w:hint="eastAsia" w:ascii="Times New Roman" w:hAnsi="Times New Roman" w:eastAsia="仿宋_GB2312" w:cs="Times New Roman"/>
        </w:rPr>
        <w:t>参加鉴定委员会的专家，必须同时具备专业资格和良好品德，确保科学鉴别、客观公正。专家开展鉴别工</w:t>
      </w:r>
      <w:r>
        <w:rPr>
          <w:rFonts w:ascii="Times New Roman" w:hAnsi="Times New Roman" w:eastAsia="仿宋_GB2312" w:cs="Times New Roman"/>
        </w:rPr>
        <w:t>作不得受外界干扰，不得</w:t>
      </w:r>
      <w:r>
        <w:rPr>
          <w:rFonts w:hint="eastAsia" w:ascii="Times New Roman" w:hAnsi="Times New Roman" w:eastAsia="仿宋_GB2312" w:cs="Times New Roman"/>
        </w:rPr>
        <w:t>玩忽职守、滥用职权、</w:t>
      </w:r>
      <w:r>
        <w:rPr>
          <w:rFonts w:ascii="Times New Roman" w:hAnsi="Times New Roman" w:eastAsia="仿宋_GB2312" w:cs="Times New Roman"/>
        </w:rPr>
        <w:t>徇私舞弊，确保结论的真实、客观、公正。</w:t>
      </w:r>
    </w:p>
    <w:p>
      <w:pPr>
        <w:pStyle w:val="2"/>
        <w:ind w:firstLine="631" w:firstLineChars="0"/>
        <w:jc w:val="both"/>
        <w:rPr>
          <w:rFonts w:ascii="Times New Roman" w:hAnsi="Times New Roman" w:eastAsia="仿宋_GB2312"/>
          <w:kern w:val="2"/>
          <w:sz w:val="32"/>
          <w:szCs w:val="32"/>
        </w:rPr>
      </w:pPr>
      <w:r>
        <w:rPr>
          <w:rFonts w:hint="eastAsia" w:ascii="Times New Roman" w:hAnsi="Times New Roman" w:eastAsia="楷体"/>
          <w:b/>
          <w:bCs/>
          <w:kern w:val="2"/>
          <w:sz w:val="32"/>
          <w:szCs w:val="32"/>
        </w:rPr>
        <w:t>（三）</w:t>
      </w:r>
      <w:r>
        <w:rPr>
          <w:rFonts w:ascii="Times New Roman" w:hAnsi="Times New Roman" w:eastAsia="楷体"/>
          <w:b/>
          <w:bCs/>
          <w:kern w:val="2"/>
          <w:sz w:val="32"/>
          <w:szCs w:val="32"/>
        </w:rPr>
        <w:t>坚持行业自律。</w:t>
      </w:r>
      <w:r>
        <w:rPr>
          <w:rFonts w:ascii="Times New Roman" w:hAnsi="Times New Roman" w:eastAsia="仿宋_GB2312"/>
          <w:kern w:val="2"/>
          <w:sz w:val="32"/>
          <w:szCs w:val="32"/>
        </w:rPr>
        <w:t>培训机构应当落实主体责任，对其实施的培训服务类别进行自我审查判断，主动按照学科类或者非学科类的相关管理要求规范开展培训活动，切实避免对外宣传与实际培训服务类别不一致的情况。培训机构应</w:t>
      </w:r>
      <w:r>
        <w:rPr>
          <w:rFonts w:hint="eastAsia" w:ascii="Times New Roman" w:hAnsi="Times New Roman" w:eastAsia="仿宋_GB2312"/>
          <w:kern w:val="2"/>
          <w:sz w:val="32"/>
          <w:szCs w:val="32"/>
        </w:rPr>
        <w:t>当</w:t>
      </w:r>
      <w:r>
        <w:rPr>
          <w:rFonts w:ascii="Times New Roman" w:hAnsi="Times New Roman" w:eastAsia="仿宋_GB2312"/>
          <w:kern w:val="2"/>
          <w:sz w:val="32"/>
          <w:szCs w:val="32"/>
        </w:rPr>
        <w:t>根据专家委员会鉴别报告加强规范管理，提高培训服务质量。</w:t>
      </w:r>
    </w:p>
    <w:p>
      <w:pPr>
        <w:spacing w:line="500" w:lineRule="exact"/>
        <w:ind w:firstLine="632" w:firstLineChars="200"/>
        <w:rPr>
          <w:rFonts w:eastAsia="仿宋_GB2312"/>
          <w:color w:val="auto"/>
        </w:rPr>
      </w:pPr>
      <w:r>
        <w:rPr>
          <w:rFonts w:eastAsia="楷体"/>
          <w:b/>
          <w:bCs/>
        </w:rPr>
        <w:t>（四）</w:t>
      </w:r>
      <w:r>
        <w:rPr>
          <w:rFonts w:hint="eastAsia" w:eastAsia="楷体"/>
          <w:b/>
          <w:bCs/>
        </w:rPr>
        <w:t>坚持</w:t>
      </w:r>
      <w:r>
        <w:rPr>
          <w:rFonts w:eastAsia="楷体"/>
          <w:b/>
          <w:bCs/>
        </w:rPr>
        <w:t>严查严</w:t>
      </w:r>
      <w:r>
        <w:rPr>
          <w:rFonts w:hint="eastAsia" w:eastAsia="楷体"/>
          <w:b/>
          <w:bCs/>
        </w:rPr>
        <w:t>惩。</w:t>
      </w:r>
      <w:r>
        <w:rPr>
          <w:rFonts w:ascii="仿宋_GB2312" w:hAnsi="仿宋_GB2312" w:eastAsia="仿宋_GB2312" w:cs="仿宋_GB2312"/>
          <w:color w:val="auto"/>
        </w:rPr>
        <w:t>对隐瞒情况或提供虚假材料、对外宣传与实际培训项目类别不一致的，要</w:t>
      </w:r>
      <w:r>
        <w:rPr>
          <w:rFonts w:hint="eastAsia" w:ascii="仿宋_GB2312" w:hAnsi="仿宋_GB2312" w:eastAsia="仿宋_GB2312" w:cs="仿宋_GB2312"/>
        </w:rPr>
        <w:t>依法依规严肃处置，列入当年度校外培训机构黑名单，并向社会公开通报处置结果。</w:t>
      </w:r>
      <w:r>
        <w:rPr>
          <w:rFonts w:ascii="仿宋_GB2312" w:hAnsi="仿宋_GB2312" w:eastAsia="仿宋_GB2312" w:cs="仿宋_GB2312"/>
        </w:rPr>
        <w:t>各地要将培训项目鉴别工作和查处变相</w:t>
      </w:r>
      <w:r>
        <w:rPr>
          <w:rFonts w:hint="eastAsia" w:ascii="仿宋_GB2312" w:hAnsi="仿宋_GB2312" w:eastAsia="仿宋_GB2312" w:cs="仿宋_GB2312"/>
        </w:rPr>
        <w:t>违规</w:t>
      </w:r>
      <w:r>
        <w:rPr>
          <w:rFonts w:ascii="仿宋_GB2312" w:hAnsi="仿宋_GB2312" w:eastAsia="仿宋_GB2312" w:cs="仿宋_GB2312"/>
        </w:rPr>
        <w:t>开展学科类校外培训工作结合起来，</w:t>
      </w:r>
      <w:r>
        <w:rPr>
          <w:rFonts w:hint="eastAsia" w:ascii="仿宋_GB2312" w:hAnsi="仿宋_GB2312" w:eastAsia="仿宋_GB2312" w:cs="仿宋_GB2312"/>
        </w:rPr>
        <w:t>持续</w:t>
      </w:r>
      <w:r>
        <w:rPr>
          <w:rFonts w:ascii="仿宋_GB2312" w:hAnsi="仿宋_GB2312" w:eastAsia="仿宋_GB2312" w:cs="仿宋_GB2312"/>
        </w:rPr>
        <w:t>贯彻落实《教育部办公厅关于坚决查处变相违规开展学科类校外培训问题的通知》（教监管厅［2021］8</w:t>
      </w:r>
      <w:r>
        <w:rPr>
          <w:rFonts w:hint="eastAsia" w:ascii="仿宋_GB2312" w:hAnsi="仿宋_GB2312" w:eastAsia="仿宋_GB2312" w:cs="仿宋_GB2312"/>
        </w:rPr>
        <w:t>号</w:t>
      </w:r>
      <w:r>
        <w:rPr>
          <w:rFonts w:ascii="仿宋_GB2312" w:hAnsi="仿宋_GB2312" w:eastAsia="仿宋_GB2312" w:cs="仿宋_GB2312"/>
        </w:rPr>
        <w:t>）要求，</w:t>
      </w:r>
      <w:r>
        <w:rPr>
          <w:rFonts w:hint="eastAsia" w:ascii="仿宋_GB2312" w:hAnsi="仿宋_GB2312" w:eastAsia="仿宋_GB2312" w:cs="仿宋_GB2312"/>
        </w:rPr>
        <w:t>严查</w:t>
      </w:r>
      <w:r>
        <w:rPr>
          <w:rFonts w:ascii="仿宋_GB2312" w:hAnsi="仿宋_GB2312" w:eastAsia="仿宋_GB2312" w:cs="仿宋_GB2312"/>
        </w:rPr>
        <w:t>严惩变相违规办学行为。</w:t>
      </w:r>
    </w:p>
    <w:p>
      <w:pPr>
        <w:pStyle w:val="2"/>
        <w:ind w:left="1580" w:leftChars="200" w:hanging="948" w:hangingChars="3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附件：1.</w:t>
      </w:r>
      <w:r>
        <w:rPr>
          <w:rFonts w:ascii="Times New Roman" w:hAnsi="Times New Roman" w:eastAsia="仿宋_GB2312"/>
          <w:sz w:val="32"/>
          <w:szCs w:val="32"/>
        </w:rPr>
        <w:t>教育部</w:t>
      </w:r>
      <w:r>
        <w:rPr>
          <w:rFonts w:hint="eastAsia" w:ascii="仿宋_GB2312" w:hAnsi="仿宋_GB2312" w:eastAsia="仿宋_GB2312" w:cs="仿宋_GB2312"/>
          <w:kern w:val="2"/>
          <w:sz w:val="32"/>
          <w:szCs w:val="32"/>
        </w:rPr>
        <w:t>办公厅关于进一步明确义务教育阶段校外     培训学科类和非学科类范围的通知（教监管厅函〔2021〕3号）</w:t>
      </w:r>
    </w:p>
    <w:p>
      <w:pPr>
        <w:pStyle w:val="2"/>
        <w:ind w:left="1580" w:leftChars="500" w:firstLine="0" w:firstLineChars="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2.教育部办公厅关于印发《义务教育阶段校外培训项</w:t>
      </w:r>
      <w:r>
        <w:rPr>
          <w:rFonts w:hint="eastAsia" w:ascii="仿宋_GB2312" w:hAnsi="仿宋_GB2312" w:eastAsia="仿宋_GB2312" w:cs="仿宋_GB2312"/>
          <w:spacing w:val="-11"/>
          <w:kern w:val="2"/>
          <w:sz w:val="32"/>
          <w:szCs w:val="32"/>
        </w:rPr>
        <w:t>目分类鉴别指南》的通知（教监管厅函〔202</w:t>
      </w:r>
      <w:r>
        <w:rPr>
          <w:rFonts w:ascii="Times New Roman" w:hAnsi="Times New Roman" w:eastAsia="仿宋_GB2312"/>
          <w:spacing w:val="-11"/>
          <w:sz w:val="32"/>
          <w:szCs w:val="32"/>
        </w:rPr>
        <w:t>1〕</w:t>
      </w:r>
      <w:r>
        <w:rPr>
          <w:rFonts w:hint="eastAsia" w:ascii="Times New Roman" w:hAnsi="Times New Roman" w:eastAsia="仿宋_GB2312"/>
          <w:spacing w:val="-11"/>
          <w:sz w:val="32"/>
          <w:szCs w:val="32"/>
        </w:rPr>
        <w:t>16</w:t>
      </w:r>
      <w:r>
        <w:rPr>
          <w:rFonts w:ascii="Times New Roman" w:hAnsi="Times New Roman" w:eastAsia="仿宋_GB2312"/>
          <w:spacing w:val="-11"/>
          <w:sz w:val="32"/>
          <w:szCs w:val="32"/>
        </w:rPr>
        <w:t>号</w:t>
      </w:r>
      <w:r>
        <w:rPr>
          <w:rFonts w:hint="eastAsia" w:ascii="Times New Roman" w:hAnsi="Times New Roman" w:eastAsia="仿宋_GB2312"/>
          <w:spacing w:val="-11"/>
          <w:sz w:val="32"/>
          <w:szCs w:val="32"/>
        </w:rPr>
        <w:t>）</w:t>
      </w:r>
    </w:p>
    <w:p>
      <w:pPr>
        <w:pStyle w:val="2"/>
        <w:ind w:firstLine="1580" w:firstLineChars="5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3.福建省中小学生</w:t>
      </w:r>
      <w:r>
        <w:rPr>
          <w:rFonts w:ascii="仿宋_GB2312" w:hAnsi="仿宋_GB2312" w:eastAsia="仿宋_GB2312" w:cs="仿宋_GB2312"/>
          <w:kern w:val="2"/>
          <w:sz w:val="32"/>
          <w:szCs w:val="32"/>
        </w:rPr>
        <w:t>校外培训项目分类鉴别指南</w:t>
      </w:r>
    </w:p>
    <w:p>
      <w:pPr>
        <w:pStyle w:val="2"/>
        <w:ind w:left="1580" w:leftChars="500" w:firstLine="0" w:firstLineChars="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4.</w:t>
      </w:r>
      <w:r>
        <w:rPr>
          <w:rFonts w:hint="eastAsia" w:ascii="仿宋_GB2312" w:hAnsi="仿宋_GB2312" w:eastAsia="仿宋_GB2312" w:cs="仿宋_GB2312"/>
          <w:kern w:val="2"/>
          <w:sz w:val="32"/>
          <w:szCs w:val="32"/>
        </w:rPr>
        <w:t>校外培训机构学科和非学科类培训项目鉴别申请表</w:t>
      </w:r>
    </w:p>
    <w:p>
      <w:pPr>
        <w:pStyle w:val="2"/>
        <w:ind w:firstLine="631" w:firstLineChars="0"/>
        <w:jc w:val="both"/>
        <w:rPr>
          <w:rFonts w:ascii="仿宋_GB2312" w:hAnsi="仿宋_GB2312" w:eastAsia="仿宋_GB2312" w:cs="仿宋_GB2312"/>
          <w:kern w:val="2"/>
          <w:sz w:val="32"/>
          <w:szCs w:val="32"/>
        </w:rPr>
        <w:sectPr>
          <w:footerReference r:id="rId3" w:type="default"/>
          <w:pgSz w:w="11906" w:h="16838"/>
          <w:pgMar w:top="2041" w:right="1587" w:bottom="1587" w:left="1701" w:header="851" w:footer="992" w:gutter="0"/>
          <w:pgNumType w:fmt="numberInDash"/>
          <w:cols w:space="720" w:num="1"/>
          <w:docGrid w:type="linesAndChars" w:linePitch="587" w:charSpace="-849"/>
        </w:sectPr>
      </w:pPr>
    </w:p>
    <w:p>
      <w:pPr>
        <w:pStyle w:val="20"/>
        <w:shd w:val="clear" w:color="auto" w:fill="auto"/>
        <w:spacing w:before="0" w:after="180" w:line="240" w:lineRule="auto"/>
        <w:jc w:val="left"/>
        <w:rPr>
          <w:rFonts w:ascii="黑体" w:hAnsi="黑体" w:eastAsia="黑体" w:cs="黑体"/>
          <w:spacing w:val="0"/>
        </w:rPr>
      </w:pPr>
      <w:r>
        <w:rPr>
          <w:rFonts w:hint="eastAsia" w:ascii="黑体" w:hAnsi="黑体" w:eastAsia="黑体" w:cs="黑体"/>
          <w:spacing w:val="0"/>
        </w:rPr>
        <w:t>附件1</w:t>
      </w:r>
    </w:p>
    <w:p>
      <w:pPr>
        <w:spacing w:line="560" w:lineRule="exact"/>
        <w:jc w:val="center"/>
        <w:rPr>
          <w:rFonts w:ascii="方正小标宋简体" w:hAnsi="方正小标宋简体" w:eastAsia="方正小标宋简体" w:cs="方正小标宋简体"/>
          <w:sz w:val="44"/>
          <w:szCs w:val="44"/>
          <w:lang w:val="zh-CN" w:bidi="zh-CN"/>
        </w:rPr>
      </w:pPr>
      <w:r>
        <w:rPr>
          <w:rFonts w:hint="eastAsia" w:ascii="方正小标宋简体" w:hAnsi="方正小标宋简体" w:eastAsia="方正小标宋简体" w:cs="方正小标宋简体"/>
          <w:sz w:val="44"/>
          <w:szCs w:val="44"/>
          <w:lang w:val="zh-CN" w:bidi="zh-CN"/>
        </w:rPr>
        <w:t>教育部办公厅关于印发《义务教育阶段</w:t>
      </w:r>
    </w:p>
    <w:p>
      <w:pPr>
        <w:spacing w:line="560" w:lineRule="exact"/>
        <w:jc w:val="center"/>
        <w:rPr>
          <w:rFonts w:ascii="方正小标宋简体" w:hAnsi="方正小标宋简体" w:eastAsia="方正小标宋简体" w:cs="方正小标宋简体"/>
          <w:sz w:val="44"/>
          <w:szCs w:val="44"/>
          <w:lang w:val="zh-CN" w:bidi="zh-CN"/>
        </w:rPr>
      </w:pPr>
      <w:r>
        <w:rPr>
          <w:rFonts w:hint="eastAsia" w:ascii="方正小标宋简体" w:hAnsi="方正小标宋简体" w:eastAsia="方正小标宋简体" w:cs="方正小标宋简体"/>
          <w:sz w:val="44"/>
          <w:szCs w:val="44"/>
          <w:lang w:val="zh-CN" w:bidi="zh-CN"/>
        </w:rPr>
        <w:t>校外培训项目分类鉴别指南》的通知</w:t>
      </w:r>
    </w:p>
    <w:p>
      <w:pPr>
        <w:adjustRightInd w:val="0"/>
        <w:snapToGrid w:val="0"/>
        <w:spacing w:after="293" w:afterLines="50" w:line="560" w:lineRule="exact"/>
        <w:ind w:right="-57"/>
        <w:jc w:val="center"/>
        <w:rPr>
          <w:rFonts w:ascii="楷体" w:hAnsi="楷体" w:eastAsia="楷体" w:cs="楷体"/>
        </w:rPr>
      </w:pPr>
      <w:r>
        <w:rPr>
          <w:rFonts w:hint="eastAsia" w:ascii="楷体" w:hAnsi="楷体" w:eastAsia="楷体" w:cs="楷体"/>
        </w:rPr>
        <w:t>教监管厅函〔2021〕16号</w:t>
      </w:r>
    </w:p>
    <w:p>
      <w:pPr>
        <w:pStyle w:val="2"/>
        <w:ind w:firstLine="196"/>
      </w:pPr>
    </w:p>
    <w:p>
      <w:pPr>
        <w:spacing w:line="560" w:lineRule="exact"/>
        <w:rPr>
          <w:rFonts w:eastAsia="仿宋_GB2312"/>
        </w:rPr>
      </w:pPr>
      <w:r>
        <w:rPr>
          <w:rFonts w:eastAsia="仿宋_GB2312"/>
        </w:rPr>
        <w:t>各省、自治区、直辖市教育厅（教委），新疆生产建设兵团教育局：</w:t>
      </w:r>
    </w:p>
    <w:p>
      <w:pPr>
        <w:spacing w:line="560" w:lineRule="exact"/>
        <w:ind w:firstLine="632" w:firstLineChars="200"/>
        <w:rPr>
          <w:rFonts w:eastAsia="仿宋_GB2312"/>
        </w:rPr>
      </w:pPr>
      <w:r>
        <w:rPr>
          <w:rFonts w:eastAsia="仿宋_GB2312"/>
        </w:rPr>
        <w:t>为贯彻落实中共中央办公厅、国务院办公厅印发的《关于进一步减轻义务教育阶段学生作业负担和校外培训负担的意见》，加强对义务教育阶段校外培训机构“学科类”项目鉴别管理，教育部制定了《义务教育阶段校外培训项目分类鉴别指南》</w:t>
      </w:r>
      <w:r>
        <w:rPr>
          <w:rFonts w:hint="eastAsia" w:eastAsia="仿宋_GB2312"/>
        </w:rPr>
        <w:t>。</w:t>
      </w:r>
      <w:r>
        <w:rPr>
          <w:rFonts w:eastAsia="仿宋_GB2312"/>
        </w:rPr>
        <w:t>现印发给你们，请在</w:t>
      </w:r>
      <w:r>
        <w:rPr>
          <w:rFonts w:hint="eastAsia" w:eastAsia="仿宋_GB2312"/>
        </w:rPr>
        <w:t>校外</w:t>
      </w:r>
      <w:r>
        <w:rPr>
          <w:rFonts w:eastAsia="仿宋_GB2312"/>
        </w:rPr>
        <w:t>培训项目分类鉴别</w:t>
      </w:r>
      <w:r>
        <w:rPr>
          <w:rFonts w:hint="eastAsia" w:eastAsia="仿宋_GB2312"/>
        </w:rPr>
        <w:t>工作中</w:t>
      </w:r>
      <w:r>
        <w:rPr>
          <w:rFonts w:eastAsia="仿宋_GB2312"/>
        </w:rPr>
        <w:t>认真贯彻落实</w:t>
      </w:r>
      <w:r>
        <w:rPr>
          <w:rFonts w:hint="eastAsia" w:eastAsia="仿宋_GB2312"/>
        </w:rPr>
        <w:t>，加快完善制度，加强专家队伍建设，不断提高工作的科学性和规范性。</w:t>
      </w:r>
    </w:p>
    <w:p>
      <w:pPr>
        <w:spacing w:line="560" w:lineRule="exact"/>
        <w:ind w:firstLine="632" w:firstLineChars="200"/>
        <w:rPr>
          <w:rFonts w:eastAsia="仿宋_GB2312"/>
        </w:rPr>
      </w:pPr>
    </w:p>
    <w:p>
      <w:pPr>
        <w:spacing w:line="560" w:lineRule="exact"/>
        <w:ind w:firstLine="632" w:firstLineChars="200"/>
        <w:rPr>
          <w:rFonts w:eastAsia="仿宋_GB2312"/>
        </w:rPr>
      </w:pPr>
    </w:p>
    <w:p>
      <w:pPr>
        <w:pStyle w:val="9"/>
        <w:widowControl w:val="0"/>
        <w:wordWrap w:val="0"/>
        <w:spacing w:beforeAutospacing="0" w:afterAutospacing="0" w:line="560" w:lineRule="exact"/>
        <w:ind w:firstLine="632" w:firstLineChars="200"/>
        <w:jc w:val="right"/>
        <w:rPr>
          <w:rFonts w:ascii="仿宋_GB2312" w:hAnsi="仿宋_GB2312" w:eastAsia="仿宋_GB2312" w:cs="仿宋_GB2312"/>
          <w:kern w:val="2"/>
          <w:sz w:val="32"/>
        </w:rPr>
      </w:pPr>
      <w:r>
        <w:rPr>
          <w:rFonts w:hint="eastAsia" w:ascii="仿宋_GB2312" w:hAnsi="仿宋_GB2312" w:eastAsia="仿宋_GB2312" w:cs="仿宋_GB2312"/>
          <w:kern w:val="2"/>
          <w:sz w:val="32"/>
        </w:rPr>
        <w:t xml:space="preserve">教育部办公厅       </w:t>
      </w:r>
    </w:p>
    <w:p>
      <w:pPr>
        <w:pStyle w:val="9"/>
        <w:widowControl w:val="0"/>
        <w:wordWrap w:val="0"/>
        <w:spacing w:beforeAutospacing="0" w:afterAutospacing="0" w:line="560" w:lineRule="exact"/>
        <w:ind w:firstLine="632" w:firstLineChars="200"/>
        <w:jc w:val="right"/>
        <w:rPr>
          <w:rFonts w:ascii="仿宋_GB2312" w:hAnsi="仿宋_GB2312" w:eastAsia="仿宋_GB2312" w:cs="仿宋_GB2312"/>
          <w:kern w:val="2"/>
          <w:sz w:val="32"/>
        </w:rPr>
      </w:pPr>
      <w:r>
        <w:rPr>
          <w:rFonts w:hint="eastAsia" w:ascii="仿宋_GB2312" w:hAnsi="仿宋_GB2312" w:eastAsia="仿宋_GB2312" w:cs="仿宋_GB2312"/>
          <w:kern w:val="2"/>
          <w:sz w:val="32"/>
        </w:rPr>
        <w:t xml:space="preserve">2021年11月8日    </w:t>
      </w:r>
    </w:p>
    <w:p>
      <w:pPr>
        <w:spacing w:line="560" w:lineRule="exact"/>
        <w:rPr>
          <w:rFonts w:eastAsia="仿宋_GB2312"/>
        </w:rPr>
      </w:pPr>
    </w:p>
    <w:p>
      <w:pPr>
        <w:pStyle w:val="20"/>
        <w:shd w:val="clear" w:color="auto" w:fill="auto"/>
        <w:spacing w:before="0" w:after="180" w:line="240" w:lineRule="auto"/>
        <w:jc w:val="left"/>
        <w:rPr>
          <w:rFonts w:ascii="黑体" w:hAnsi="黑体" w:eastAsia="黑体" w:cs="黑体"/>
          <w:spacing w:val="0"/>
        </w:rPr>
      </w:pPr>
    </w:p>
    <w:p>
      <w:pPr>
        <w:pStyle w:val="20"/>
        <w:shd w:val="clear" w:color="auto" w:fill="auto"/>
        <w:spacing w:before="0" w:after="180" w:line="240" w:lineRule="auto"/>
        <w:jc w:val="left"/>
        <w:rPr>
          <w:rFonts w:ascii="黑体" w:hAnsi="黑体" w:eastAsia="黑体" w:cs="黑体"/>
          <w:spacing w:val="0"/>
        </w:rPr>
      </w:pPr>
    </w:p>
    <w:p>
      <w:pPr>
        <w:pStyle w:val="20"/>
        <w:shd w:val="clear" w:color="auto" w:fill="auto"/>
        <w:spacing w:before="0" w:after="180" w:line="240" w:lineRule="auto"/>
        <w:jc w:val="left"/>
        <w:rPr>
          <w:rFonts w:ascii="黑体" w:hAnsi="黑体" w:eastAsia="黑体" w:cs="黑体"/>
          <w:spacing w:val="0"/>
        </w:rPr>
      </w:pPr>
    </w:p>
    <w:p>
      <w:pPr>
        <w:spacing w:line="560" w:lineRule="exact"/>
        <w:jc w:val="center"/>
        <w:rPr>
          <w:rFonts w:ascii="方正小标宋简体" w:hAnsi="方正小标宋简体" w:eastAsia="方正小标宋简体" w:cs="方正小标宋简体"/>
          <w:sz w:val="44"/>
          <w:szCs w:val="44"/>
          <w:lang w:val="zh-CN" w:bidi="zh-CN"/>
        </w:rPr>
      </w:pPr>
      <w:r>
        <w:rPr>
          <w:rFonts w:hint="eastAsia" w:ascii="方正小标宋简体" w:hAnsi="方正小标宋简体" w:eastAsia="方正小标宋简体" w:cs="方正小标宋简体"/>
          <w:sz w:val="44"/>
          <w:szCs w:val="44"/>
          <w:lang w:val="zh-CN" w:bidi="zh-CN"/>
        </w:rPr>
        <w:t>义务教育阶段校外培训项目分类鉴别指南</w:t>
      </w:r>
    </w:p>
    <w:p>
      <w:pPr>
        <w:spacing w:line="580" w:lineRule="exact"/>
        <w:ind w:firstLine="632" w:firstLineChars="200"/>
        <w:rPr>
          <w:rFonts w:eastAsia="仿宋_GB2312"/>
        </w:rPr>
      </w:pPr>
    </w:p>
    <w:p>
      <w:pPr>
        <w:wordWrap w:val="0"/>
        <w:spacing w:line="580" w:lineRule="exact"/>
        <w:ind w:firstLine="632" w:firstLineChars="200"/>
        <w:rPr>
          <w:rFonts w:eastAsia="仿宋_GB2312"/>
        </w:rPr>
      </w:pPr>
      <w:r>
        <w:rPr>
          <w:rFonts w:eastAsia="仿宋_GB2312"/>
        </w:rPr>
        <w:t>为贯彻落实中共中央办公厅、国务院办公厅印发的《关于进一步减轻义务教育阶段学生作业负担和校外培训负担的意见》</w:t>
      </w:r>
      <w:r>
        <w:rPr>
          <w:rFonts w:hint="eastAsia" w:eastAsia="仿宋_GB2312"/>
        </w:rPr>
        <w:t>，</w:t>
      </w:r>
      <w:r>
        <w:rPr>
          <w:rFonts w:eastAsia="仿宋_GB2312"/>
        </w:rPr>
        <w:t>加强对义务教育阶段校外培训机构“学科类”项目鉴别管理，制定本指南。</w:t>
      </w:r>
    </w:p>
    <w:p>
      <w:pPr>
        <w:wordWrap w:val="0"/>
        <w:spacing w:line="580" w:lineRule="exact"/>
        <w:ind w:firstLine="632" w:firstLineChars="200"/>
        <w:jc w:val="left"/>
        <w:rPr>
          <w:rFonts w:eastAsia="黑体"/>
          <w:bCs/>
          <w:color w:val="333333"/>
        </w:rPr>
      </w:pPr>
      <w:r>
        <w:rPr>
          <w:rStyle w:val="12"/>
          <w:rFonts w:eastAsia="黑体"/>
          <w:bCs/>
        </w:rPr>
        <w:t>一、适用范围</w:t>
      </w:r>
    </w:p>
    <w:p>
      <w:pPr>
        <w:pStyle w:val="9"/>
        <w:widowControl w:val="0"/>
        <w:shd w:val="clear" w:color="auto" w:fill="FFFFFF"/>
        <w:wordWrap w:val="0"/>
        <w:spacing w:beforeAutospacing="0" w:afterAutospacing="0" w:line="580" w:lineRule="exact"/>
        <w:ind w:firstLine="632" w:firstLineChars="200"/>
        <w:jc w:val="both"/>
        <w:rPr>
          <w:rFonts w:ascii="Times New Roman" w:hAnsi="Times New Roman" w:eastAsia="仿宋_GB2312" w:cs="Times New Roman"/>
          <w:kern w:val="2"/>
          <w:sz w:val="32"/>
        </w:rPr>
      </w:pPr>
      <w:r>
        <w:rPr>
          <w:rFonts w:ascii="Times New Roman" w:hAnsi="Times New Roman" w:eastAsia="仿宋_GB2312" w:cs="Times New Roman"/>
          <w:kern w:val="2"/>
          <w:sz w:val="32"/>
        </w:rPr>
        <w:t>校外培训机构面向义务教育阶段学生实施校外培训，适用本指南。</w:t>
      </w:r>
    </w:p>
    <w:p>
      <w:pPr>
        <w:pStyle w:val="5"/>
        <w:keepNext w:val="0"/>
        <w:keepLines w:val="0"/>
        <w:numPr>
          <w:ilvl w:val="0"/>
          <w:numId w:val="0"/>
        </w:numPr>
        <w:wordWrap w:val="0"/>
        <w:spacing w:line="580" w:lineRule="exact"/>
        <w:ind w:firstLine="632" w:firstLineChars="200"/>
        <w:rPr>
          <w:rFonts w:ascii="Times New Roman" w:hAnsi="Times New Roman" w:cs="Times New Roman"/>
          <w:b w:val="0"/>
          <w:bCs/>
        </w:rPr>
      </w:pPr>
      <w:r>
        <w:rPr>
          <w:rFonts w:ascii="Times New Roman" w:hAnsi="Times New Roman" w:cs="Times New Roman"/>
          <w:b w:val="0"/>
          <w:bCs/>
        </w:rPr>
        <w:t>二、基本原则</w:t>
      </w:r>
    </w:p>
    <w:p>
      <w:pPr>
        <w:pStyle w:val="9"/>
        <w:widowControl w:val="0"/>
        <w:wordWrap w:val="0"/>
        <w:spacing w:beforeAutospacing="0" w:afterAutospacing="0" w:line="580" w:lineRule="exact"/>
        <w:ind w:firstLine="632" w:firstLineChars="200"/>
        <w:jc w:val="both"/>
        <w:rPr>
          <w:rFonts w:ascii="Times New Roman" w:hAnsi="Times New Roman" w:eastAsia="仿宋_GB2312" w:cs="Times New Roman"/>
          <w:sz w:val="32"/>
        </w:rPr>
      </w:pPr>
      <w:r>
        <w:rPr>
          <w:rFonts w:ascii="Times New Roman" w:hAnsi="Times New Roman" w:eastAsia="仿宋_GB2312" w:cs="Times New Roman"/>
          <w:sz w:val="32"/>
        </w:rPr>
        <w:t>校外培训项目分类鉴别工作，遵循以下原则：</w:t>
      </w:r>
    </w:p>
    <w:p>
      <w:pPr>
        <w:wordWrap w:val="0"/>
        <w:spacing w:line="580" w:lineRule="exact"/>
        <w:ind w:firstLine="632" w:firstLineChars="200"/>
        <w:rPr>
          <w:rFonts w:eastAsia="仿宋_GB2312"/>
          <w:highlight w:val="yellow"/>
        </w:rPr>
      </w:pPr>
      <w:r>
        <w:rPr>
          <w:rFonts w:eastAsia="楷体"/>
          <w:b/>
          <w:bCs/>
        </w:rPr>
        <w:t>（一）坚持从严规范。</w:t>
      </w:r>
      <w:r>
        <w:rPr>
          <w:rFonts w:eastAsia="仿宋_GB2312"/>
        </w:rPr>
        <w:t>深刻领会贯彻中央“双减”精神要求，严格遵照国家相关法律法规和政策规定，落实属地行政管理责任，明晰界线、从严要求、规范程序，体现权威性和严肃性。</w:t>
      </w:r>
    </w:p>
    <w:p>
      <w:pPr>
        <w:wordWrap w:val="0"/>
        <w:spacing w:line="580" w:lineRule="exact"/>
        <w:ind w:firstLine="632" w:firstLineChars="200"/>
        <w:rPr>
          <w:rFonts w:eastAsia="仿宋_GB2312"/>
        </w:rPr>
      </w:pPr>
      <w:r>
        <w:rPr>
          <w:rFonts w:eastAsia="楷体"/>
          <w:b/>
          <w:bCs/>
        </w:rPr>
        <w:t>（二）坚持科学严谨。</w:t>
      </w:r>
      <w:r>
        <w:rPr>
          <w:rFonts w:eastAsia="仿宋_GB2312"/>
        </w:rPr>
        <w:t>充分依靠专家力量，尊重学科规律和教学规律，综合培训项目的实际情况，立足具体问题具体分析，给出客观、公正、独立的专业鉴别意见，确保科学与严谨。</w:t>
      </w:r>
    </w:p>
    <w:p>
      <w:pPr>
        <w:wordWrap w:val="0"/>
        <w:spacing w:line="580" w:lineRule="exact"/>
        <w:ind w:firstLine="632" w:firstLineChars="200"/>
        <w:rPr>
          <w:rFonts w:eastAsia="仿宋_GB2312"/>
        </w:rPr>
      </w:pPr>
      <w:r>
        <w:rPr>
          <w:rFonts w:eastAsia="楷体"/>
          <w:b/>
          <w:bCs/>
        </w:rPr>
        <w:t>（三）坚持统筹协调。</w:t>
      </w:r>
      <w:r>
        <w:rPr>
          <w:rFonts w:eastAsia="仿宋_GB2312"/>
        </w:rPr>
        <w:t>加强主管部门之间横向配合、地区之间协同推进，坚持“一盘棋”，避免在实践中出现“低洼区”“空白区”“矛盾区”。积极研究和应对工作中出现的各种新情况、新问题，不断探索创新，在实践中完善制度和机制。</w:t>
      </w:r>
    </w:p>
    <w:p>
      <w:pPr>
        <w:pStyle w:val="5"/>
        <w:keepNext w:val="0"/>
        <w:keepLines w:val="0"/>
        <w:numPr>
          <w:ilvl w:val="0"/>
          <w:numId w:val="0"/>
        </w:numPr>
        <w:wordWrap w:val="0"/>
        <w:spacing w:line="580" w:lineRule="exact"/>
        <w:ind w:firstLine="632" w:firstLineChars="200"/>
        <w:rPr>
          <w:rFonts w:ascii="Times New Roman" w:hAnsi="Times New Roman" w:cs="Times New Roman"/>
          <w:b w:val="0"/>
          <w:bCs/>
        </w:rPr>
      </w:pPr>
      <w:r>
        <w:rPr>
          <w:rFonts w:ascii="Times New Roman" w:hAnsi="Times New Roman" w:cs="Times New Roman"/>
          <w:b w:val="0"/>
          <w:bCs/>
        </w:rPr>
        <w:t>三、鉴别依据</w:t>
      </w:r>
    </w:p>
    <w:p>
      <w:pPr>
        <w:pStyle w:val="19"/>
        <w:wordWrap w:val="0"/>
        <w:spacing w:line="580" w:lineRule="exact"/>
        <w:ind w:firstLine="632" w:firstLineChars="200"/>
        <w:rPr>
          <w:rFonts w:ascii="Times New Roman" w:hAnsi="Times New Roman" w:eastAsia="仿宋_GB2312" w:cs="Times New Roman"/>
        </w:rPr>
      </w:pPr>
      <w:r>
        <w:rPr>
          <w:rFonts w:ascii="Times New Roman" w:hAnsi="Times New Roman" w:eastAsia="仿宋_GB2312" w:cs="Times New Roman"/>
        </w:rPr>
        <w:t>根据《教育部办公厅关于进一步明确义务教育阶段校外培训学科类和非学科类范围的通知》</w:t>
      </w:r>
      <w:r>
        <w:rPr>
          <w:rFonts w:hint="eastAsia" w:ascii="Times New Roman" w:hAnsi="Times New Roman" w:eastAsia="仿宋_GB2312" w:cs="Times New Roman"/>
        </w:rPr>
        <w:t>（</w:t>
      </w:r>
      <w:r>
        <w:rPr>
          <w:rFonts w:ascii="Times New Roman" w:hAnsi="Times New Roman" w:eastAsia="仿宋_GB2312" w:cs="Times New Roman"/>
        </w:rPr>
        <w:t>教监管厅函〔2021〕</w:t>
      </w:r>
      <w:r>
        <w:rPr>
          <w:rFonts w:hint="eastAsia" w:ascii="Times New Roman" w:hAnsi="Times New Roman" w:eastAsia="仿宋_GB2312" w:cs="Times New Roman"/>
        </w:rPr>
        <w:t>3</w:t>
      </w:r>
      <w:r>
        <w:rPr>
          <w:rFonts w:ascii="Times New Roman" w:hAnsi="Times New Roman" w:eastAsia="仿宋_GB2312" w:cs="Times New Roman"/>
        </w:rPr>
        <w:t>号</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中小学</w:t>
      </w:r>
      <w:r>
        <w:rPr>
          <w:rFonts w:ascii="Times New Roman" w:hAnsi="Times New Roman" w:eastAsia="仿宋_GB2312" w:cs="Times New Roman"/>
        </w:rPr>
        <w:t>国家课程方案和课程标准等文件规定，结合校外培训的实际情况，</w:t>
      </w:r>
      <w:r>
        <w:rPr>
          <w:rFonts w:ascii="Times New Roman" w:hAnsi="Times New Roman" w:eastAsia="仿宋_GB2312" w:cs="Times New Roman"/>
          <w:kern w:val="0"/>
        </w:rPr>
        <w:t>对培训项目</w:t>
      </w:r>
      <w:r>
        <w:rPr>
          <w:rFonts w:ascii="Times New Roman" w:hAnsi="Times New Roman" w:eastAsia="仿宋_GB2312" w:cs="Times New Roman"/>
        </w:rPr>
        <w:t>类别进行鉴别。主要从培训目的、培训内容、培训方式、评价方式等维度进行综合考量，如符合以下特征，即判定为学科类培训项目。</w:t>
      </w:r>
    </w:p>
    <w:p>
      <w:pPr>
        <w:numPr>
          <w:ilvl w:val="0"/>
          <w:numId w:val="3"/>
        </w:numPr>
        <w:wordWrap w:val="0"/>
        <w:spacing w:line="580" w:lineRule="exact"/>
        <w:ind w:firstLine="643"/>
        <w:rPr>
          <w:rFonts w:eastAsia="仿宋_GB2312"/>
          <w:u w:val="single"/>
        </w:rPr>
      </w:pPr>
      <w:r>
        <w:rPr>
          <w:rFonts w:eastAsia="楷体"/>
          <w:b/>
          <w:bCs/>
        </w:rPr>
        <w:t>培训目的：</w:t>
      </w:r>
      <w:r>
        <w:rPr>
          <w:rFonts w:eastAsia="仿宋_GB2312"/>
        </w:rPr>
        <w:t>以学科知识与技能培训为导向，主要为提升</w:t>
      </w:r>
      <w:r>
        <w:rPr>
          <w:rFonts w:hint="eastAsia" w:eastAsia="仿宋_GB2312"/>
        </w:rPr>
        <w:t>学科学习</w:t>
      </w:r>
      <w:r>
        <w:rPr>
          <w:rFonts w:eastAsia="仿宋_GB2312"/>
        </w:rPr>
        <w:t>成绩服务。</w:t>
      </w:r>
    </w:p>
    <w:p>
      <w:pPr>
        <w:wordWrap w:val="0"/>
        <w:spacing w:line="580" w:lineRule="exact"/>
        <w:ind w:firstLine="632" w:firstLineChars="200"/>
        <w:rPr>
          <w:rFonts w:eastAsia="仿宋_GB2312"/>
        </w:rPr>
      </w:pPr>
      <w:r>
        <w:rPr>
          <w:rFonts w:eastAsia="楷体"/>
          <w:b/>
          <w:bCs/>
        </w:rPr>
        <w:t>（二）培训内容：</w:t>
      </w:r>
      <w:r>
        <w:rPr>
          <w:rFonts w:eastAsia="仿宋_GB2312"/>
        </w:rPr>
        <w:t>主要涉及道德与法治、语文、历史、地理、数学、外语（英语、日语、俄语）、物理、化学、生物等学科学习内容。</w:t>
      </w:r>
    </w:p>
    <w:p>
      <w:pPr>
        <w:wordWrap w:val="0"/>
        <w:spacing w:line="580" w:lineRule="exact"/>
        <w:ind w:firstLine="632" w:firstLineChars="200"/>
        <w:rPr>
          <w:rFonts w:eastAsia="仿宋_GB2312"/>
        </w:rPr>
      </w:pPr>
      <w:r>
        <w:rPr>
          <w:rFonts w:eastAsia="楷体"/>
          <w:b/>
          <w:bCs/>
        </w:rPr>
        <w:t>（三）培训方式：</w:t>
      </w:r>
      <w:r>
        <w:rPr>
          <w:rFonts w:eastAsia="仿宋_GB2312"/>
        </w:rPr>
        <w:t>重在进行学科知识讲解、听说读写算等学科能力训练，以预习、授课和巩固</w:t>
      </w:r>
      <w:r>
        <w:rPr>
          <w:rFonts w:hint="eastAsia" w:eastAsia="仿宋_GB2312"/>
        </w:rPr>
        <w:t>练习</w:t>
      </w:r>
      <w:r>
        <w:rPr>
          <w:rFonts w:eastAsia="仿宋_GB2312"/>
        </w:rPr>
        <w:t>等为主要过程，以教师（包括虚拟者、</w:t>
      </w:r>
      <w:r>
        <w:rPr>
          <w:rFonts w:hint="eastAsia" w:eastAsia="仿宋_GB2312"/>
        </w:rPr>
        <w:t>人工职能</w:t>
      </w:r>
      <w:r>
        <w:rPr>
          <w:rFonts w:eastAsia="仿宋_GB2312"/>
        </w:rPr>
        <w:t>等）讲授示范、互动等为主要形式。</w:t>
      </w:r>
    </w:p>
    <w:p>
      <w:pPr>
        <w:wordWrap w:val="0"/>
        <w:spacing w:line="580" w:lineRule="exact"/>
        <w:ind w:firstLine="632" w:firstLineChars="200"/>
        <w:rPr>
          <w:rStyle w:val="18"/>
          <w:rFonts w:eastAsia="仿宋_GB2312"/>
          <w:bCs/>
        </w:rPr>
      </w:pPr>
      <w:r>
        <w:rPr>
          <w:rFonts w:eastAsia="楷体"/>
          <w:b/>
          <w:bCs/>
        </w:rPr>
        <w:t>（四）结果评价：</w:t>
      </w:r>
      <w:r>
        <w:rPr>
          <w:rFonts w:eastAsia="仿宋_GB2312"/>
        </w:rPr>
        <w:t>对学生的评价</w:t>
      </w:r>
      <w:r>
        <w:rPr>
          <w:rStyle w:val="18"/>
          <w:rFonts w:eastAsia="仿宋_GB2312"/>
          <w:bCs/>
        </w:rPr>
        <w:t>侧重甄别与选拔，以学习成绩、考试结果等作为主要评价依据。</w:t>
      </w:r>
    </w:p>
    <w:p>
      <w:pPr>
        <w:pStyle w:val="19"/>
        <w:wordWrap w:val="0"/>
        <w:spacing w:line="580" w:lineRule="exact"/>
        <w:ind w:firstLine="632" w:firstLineChars="200"/>
        <w:rPr>
          <w:rFonts w:ascii="Times New Roman" w:hAnsi="Times New Roman" w:eastAsia="黑体" w:cs="Times New Roman"/>
          <w:bCs/>
        </w:rPr>
      </w:pPr>
      <w:r>
        <w:rPr>
          <w:rFonts w:ascii="Times New Roman" w:hAnsi="Times New Roman" w:eastAsia="黑体" w:cs="Times New Roman"/>
          <w:bCs/>
        </w:rPr>
        <w:t>四、实施要求</w:t>
      </w:r>
    </w:p>
    <w:p>
      <w:pPr>
        <w:pStyle w:val="19"/>
        <w:wordWrap w:val="0"/>
        <w:spacing w:line="580" w:lineRule="exact"/>
        <w:ind w:firstLine="632" w:firstLineChars="200"/>
        <w:rPr>
          <w:rFonts w:ascii="Times New Roman" w:hAnsi="Times New Roman" w:eastAsia="仿宋_GB2312" w:cs="Times New Roman"/>
        </w:rPr>
      </w:pPr>
      <w:r>
        <w:rPr>
          <w:rFonts w:hint="eastAsia" w:ascii="Times New Roman" w:hAnsi="Times New Roman" w:eastAsia="楷体" w:cs="Times New Roman"/>
          <w:b/>
          <w:bCs/>
        </w:rPr>
        <w:t>（一）</w:t>
      </w:r>
      <w:r>
        <w:rPr>
          <w:rFonts w:ascii="Times New Roman" w:hAnsi="Times New Roman" w:eastAsia="楷体" w:cs="Times New Roman"/>
          <w:b/>
          <w:bCs/>
        </w:rPr>
        <w:t>建立分级指导机制。</w:t>
      </w:r>
      <w:r>
        <w:rPr>
          <w:rFonts w:ascii="Times New Roman" w:hAnsi="Times New Roman" w:eastAsia="仿宋_GB2312" w:cs="Times New Roman"/>
        </w:rPr>
        <w:t>省级教育行政部门要对本地培训项目分类鉴别工作进行统筹规范，加强分级指导，对各地鉴别工作中出现的问题和偏差，及时跟进指导、纠偏矫正，确保操作落实步调一致、不走偏、不走样</w:t>
      </w:r>
      <w:r>
        <w:rPr>
          <w:rFonts w:hint="eastAsia" w:ascii="Times New Roman" w:hAnsi="Times New Roman" w:eastAsia="仿宋_GB2312" w:cs="Times New Roman"/>
        </w:rPr>
        <w:t>，</w:t>
      </w:r>
      <w:r>
        <w:rPr>
          <w:rFonts w:ascii="Times New Roman" w:hAnsi="Times New Roman" w:eastAsia="仿宋_GB2312" w:cs="Times New Roman"/>
        </w:rPr>
        <w:t>避免出现同类培训项目在不同地区给出差异鉴别结果。</w:t>
      </w:r>
      <w:r>
        <w:rPr>
          <w:rFonts w:hint="eastAsia" w:ascii="Times New Roman" w:hAnsi="Times New Roman" w:eastAsia="仿宋_GB2312" w:cs="Times New Roman"/>
        </w:rPr>
        <w:t>当出现较大争议或难以鉴别时，下级教育行政部门应提请上级教育行政部门进行研究裁决。</w:t>
      </w:r>
      <w:r>
        <w:rPr>
          <w:rFonts w:ascii="Times New Roman" w:hAnsi="Times New Roman" w:eastAsia="仿宋_GB2312" w:cs="Times New Roman"/>
        </w:rPr>
        <w:t>各地</w:t>
      </w:r>
      <w:r>
        <w:rPr>
          <w:rFonts w:hint="eastAsia" w:ascii="Times New Roman" w:hAnsi="Times New Roman" w:eastAsia="仿宋_GB2312" w:cs="Times New Roman"/>
        </w:rPr>
        <w:t>要</w:t>
      </w:r>
      <w:r>
        <w:rPr>
          <w:rFonts w:ascii="Times New Roman" w:hAnsi="Times New Roman" w:eastAsia="仿宋_GB2312" w:cs="Times New Roman"/>
        </w:rPr>
        <w:t>认真总结培训项目分类鉴别工作，形成并更新典型案例资料库，促进信息互通共享，推动一线鉴别工作更加准确、高效。</w:t>
      </w:r>
    </w:p>
    <w:p>
      <w:pPr>
        <w:pStyle w:val="19"/>
        <w:wordWrap w:val="0"/>
        <w:spacing w:line="580" w:lineRule="exact"/>
        <w:ind w:firstLine="632" w:firstLineChars="200"/>
        <w:rPr>
          <w:rFonts w:ascii="Times New Roman" w:hAnsi="Times New Roman" w:eastAsia="仿宋_GB2312" w:cs="Times New Roman"/>
        </w:rPr>
      </w:pPr>
      <w:r>
        <w:rPr>
          <w:rFonts w:ascii="Times New Roman" w:hAnsi="Times New Roman" w:eastAsia="仿宋_GB2312" w:cs="Times New Roman"/>
        </w:rPr>
        <w:t>在其他主管部门开展非学科类培训管理过程中，根据工作需要，教育行政部门可协助提供有关培训项目分类鉴别意见，并对“学科类”鉴别有最终决定权。</w:t>
      </w:r>
    </w:p>
    <w:p>
      <w:pPr>
        <w:pStyle w:val="19"/>
        <w:wordWrap w:val="0"/>
        <w:spacing w:line="580" w:lineRule="exact"/>
        <w:ind w:firstLine="632" w:firstLineChars="200"/>
        <w:rPr>
          <w:rFonts w:ascii="Times New Roman" w:hAnsi="Times New Roman" w:eastAsia="仿宋_GB2312" w:cs="Times New Roman"/>
        </w:rPr>
      </w:pPr>
      <w:r>
        <w:rPr>
          <w:rFonts w:ascii="Times New Roman" w:hAnsi="Times New Roman" w:eastAsia="楷体" w:cs="Times New Roman"/>
          <w:b/>
          <w:bCs/>
        </w:rPr>
        <w:t>（</w:t>
      </w:r>
      <w:r>
        <w:rPr>
          <w:rFonts w:hint="eastAsia" w:ascii="Times New Roman" w:hAnsi="Times New Roman" w:eastAsia="楷体" w:cs="Times New Roman"/>
          <w:b/>
          <w:bCs/>
        </w:rPr>
        <w:t>二</w:t>
      </w:r>
      <w:r>
        <w:rPr>
          <w:rFonts w:ascii="Times New Roman" w:hAnsi="Times New Roman" w:eastAsia="楷体" w:cs="Times New Roman"/>
          <w:b/>
          <w:bCs/>
        </w:rPr>
        <w:t>）建立专家鉴别制度。</w:t>
      </w:r>
      <w:r>
        <w:rPr>
          <w:rFonts w:ascii="Times New Roman" w:hAnsi="Times New Roman" w:eastAsia="仿宋_GB2312" w:cs="Times New Roman"/>
        </w:rPr>
        <w:t>地方各级教育行政部门应根据相应管理需要，组建专家组</w:t>
      </w:r>
      <w:r>
        <w:rPr>
          <w:rFonts w:ascii="Times New Roman" w:hAnsi="Times New Roman" w:eastAsia="仿宋_GB2312" w:cs="Times New Roman"/>
          <w:bCs/>
        </w:rPr>
        <w:t>或者委托专业机构对无法直接判断的培训</w:t>
      </w:r>
      <w:r>
        <w:rPr>
          <w:rFonts w:ascii="Times New Roman" w:hAnsi="Times New Roman" w:eastAsia="仿宋_GB2312" w:cs="Times New Roman"/>
        </w:rPr>
        <w:t>项目开展</w:t>
      </w:r>
      <w:r>
        <w:rPr>
          <w:rFonts w:ascii="Times New Roman" w:hAnsi="Times New Roman" w:eastAsia="仿宋_GB2312" w:cs="Times New Roman"/>
          <w:bCs/>
        </w:rPr>
        <w:t>分类鉴别</w:t>
      </w:r>
      <w:r>
        <w:rPr>
          <w:rFonts w:ascii="Times New Roman" w:hAnsi="Times New Roman" w:eastAsia="仿宋_GB2312" w:cs="Times New Roman"/>
        </w:rPr>
        <w:t>，</w:t>
      </w:r>
      <w:r>
        <w:rPr>
          <w:rFonts w:hint="eastAsia" w:ascii="Times New Roman" w:hAnsi="Times New Roman" w:eastAsia="仿宋_GB2312" w:cs="Times New Roman"/>
        </w:rPr>
        <w:t>作</w:t>
      </w:r>
      <w:r>
        <w:rPr>
          <w:rFonts w:ascii="Times New Roman" w:hAnsi="Times New Roman" w:eastAsia="仿宋_GB2312" w:cs="Times New Roman"/>
        </w:rPr>
        <w:t>出鉴别决定。鉴别专家组应包括相关学科、课程、教学等方面专家，且相关人员及其直系亲属未在培训机构中任职或兼职、属于非利益相关方。接受委托的专业机构，须按照规范要求组织符合条件的专家队伍开展鉴别工作。</w:t>
      </w:r>
    </w:p>
    <w:p>
      <w:pPr>
        <w:pStyle w:val="19"/>
        <w:wordWrap w:val="0"/>
        <w:spacing w:line="580" w:lineRule="exact"/>
        <w:ind w:firstLine="632" w:firstLineChars="200"/>
        <w:rPr>
          <w:rFonts w:ascii="Times New Roman" w:hAnsi="Times New Roman" w:eastAsia="仿宋_GB2312" w:cs="Times New Roman"/>
        </w:rPr>
      </w:pPr>
      <w:r>
        <w:rPr>
          <w:rFonts w:ascii="Times New Roman" w:hAnsi="Times New Roman" w:eastAsia="仿宋_GB2312" w:cs="Times New Roman"/>
        </w:rPr>
        <w:t>根据实际工作需要，专家组可通过资料审查、实地查看、课堂观察、人员访谈等多种方式，综合研判培训目的、内容、方式、评价等具体情况，提出培训项目属于“学科类”或者“非学科类”的鉴别意见。鉴别工作不得受外界干扰，不得徇私舞弊，确保结论的真实、客观、公正。</w:t>
      </w:r>
    </w:p>
    <w:p>
      <w:pPr>
        <w:pStyle w:val="19"/>
        <w:wordWrap w:val="0"/>
        <w:spacing w:line="580" w:lineRule="exact"/>
        <w:ind w:firstLine="632" w:firstLineChars="200"/>
        <w:rPr>
          <w:rFonts w:ascii="Times New Roman" w:hAnsi="Times New Roman" w:eastAsia="仿宋_GB2312" w:cs="Times New Roman"/>
          <w:spacing w:val="-16"/>
        </w:rPr>
      </w:pPr>
      <w:r>
        <w:rPr>
          <w:rFonts w:ascii="Times New Roman" w:hAnsi="Times New Roman" w:eastAsia="楷体" w:cs="Times New Roman"/>
          <w:b/>
          <w:bCs/>
        </w:rPr>
        <w:t>（三）强化机构行业自律。</w:t>
      </w:r>
      <w:r>
        <w:rPr>
          <w:rFonts w:ascii="Times New Roman" w:hAnsi="Times New Roman" w:eastAsia="仿宋_GB2312" w:cs="Times New Roman"/>
        </w:rPr>
        <w:t>培训机构应落实自主管理责任，对开展的培训项目类别进行</w:t>
      </w:r>
      <w:r>
        <w:rPr>
          <w:rFonts w:hint="eastAsia" w:ascii="Times New Roman" w:hAnsi="Times New Roman" w:eastAsia="仿宋_GB2312" w:cs="Times New Roman"/>
        </w:rPr>
        <w:t>自我研判、</w:t>
      </w:r>
      <w:r>
        <w:rPr>
          <w:rFonts w:ascii="Times New Roman" w:hAnsi="Times New Roman" w:eastAsia="仿宋_GB2312" w:cs="Times New Roman"/>
        </w:rPr>
        <w:t>自评自查，自觉按照“学科类”或者“非学科类”的相关管理要求，规范开展培训活动，不</w:t>
      </w:r>
      <w:r>
        <w:rPr>
          <w:rFonts w:ascii="Times New Roman" w:hAnsi="Times New Roman" w:eastAsia="仿宋_GB2312" w:cs="Times New Roman"/>
          <w:spacing w:val="-8"/>
        </w:rPr>
        <w:t>得出现名不符实的情况</w:t>
      </w:r>
      <w:r>
        <w:rPr>
          <w:rFonts w:hint="eastAsia" w:ascii="Times New Roman" w:hAnsi="Times New Roman" w:eastAsia="仿宋_GB2312" w:cs="Times New Roman"/>
          <w:spacing w:val="-8"/>
        </w:rPr>
        <w:t>，不得隐形变异违规开展学科类培训活动</w:t>
      </w:r>
      <w:r>
        <w:rPr>
          <w:rFonts w:ascii="Times New Roman" w:hAnsi="Times New Roman" w:eastAsia="仿宋_GB2312" w:cs="Times New Roman"/>
          <w:spacing w:val="-8"/>
        </w:rPr>
        <w:t>。</w:t>
      </w:r>
    </w:p>
    <w:p>
      <w:pPr>
        <w:pStyle w:val="20"/>
        <w:shd w:val="clear" w:color="auto" w:fill="auto"/>
        <w:spacing w:before="0" w:after="180" w:line="240" w:lineRule="auto"/>
        <w:jc w:val="left"/>
        <w:rPr>
          <w:rFonts w:ascii="黑体" w:hAnsi="黑体" w:eastAsia="黑体" w:cs="黑体"/>
          <w:spacing w:val="0"/>
        </w:rPr>
        <w:sectPr>
          <w:pgSz w:w="11906" w:h="16838"/>
          <w:pgMar w:top="2098" w:right="1474" w:bottom="1701" w:left="1587" w:header="851" w:footer="992" w:gutter="0"/>
          <w:pgNumType w:fmt="numberInDash"/>
          <w:cols w:space="720" w:num="1"/>
          <w:docGrid w:type="linesAndChars" w:linePitch="587" w:charSpace="-849"/>
        </w:sectPr>
      </w:pPr>
    </w:p>
    <w:p>
      <w:pPr>
        <w:pStyle w:val="20"/>
        <w:shd w:val="clear" w:color="auto" w:fill="auto"/>
        <w:spacing w:before="0" w:after="180" w:line="240" w:lineRule="auto"/>
        <w:jc w:val="left"/>
        <w:rPr>
          <w:rFonts w:eastAsia="方正小标宋简体"/>
          <w:sz w:val="36"/>
          <w:szCs w:val="36"/>
        </w:rPr>
      </w:pPr>
      <w:r>
        <w:rPr>
          <w:rFonts w:hint="eastAsia" w:ascii="黑体" w:hAnsi="黑体" w:eastAsia="黑体" w:cs="黑体"/>
          <w:spacing w:val="0"/>
        </w:rPr>
        <w:t>附件2</w:t>
      </w:r>
    </w:p>
    <w:p>
      <w:pPr>
        <w:spacing w:line="7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教育部办公厅关于进一步明确义务教育阶段</w:t>
      </w:r>
    </w:p>
    <w:p>
      <w:pPr>
        <w:spacing w:line="7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校外培训学科类和非学科类范围的通知</w:t>
      </w:r>
    </w:p>
    <w:p>
      <w:pPr>
        <w:adjustRightInd w:val="0"/>
        <w:snapToGrid w:val="0"/>
        <w:spacing w:line="600" w:lineRule="exact"/>
        <w:ind w:right="-57"/>
        <w:jc w:val="center"/>
        <w:rPr>
          <w:rFonts w:ascii="楷体" w:hAnsi="楷体" w:eastAsia="楷体" w:cs="楷体"/>
        </w:rPr>
      </w:pPr>
      <w:r>
        <w:rPr>
          <w:rFonts w:hint="eastAsia" w:ascii="楷体" w:hAnsi="楷体" w:eastAsia="楷体" w:cs="楷体"/>
        </w:rPr>
        <w:t>教监管厅函〔2021〕3号</w:t>
      </w:r>
    </w:p>
    <w:p>
      <w:pPr>
        <w:pStyle w:val="2"/>
        <w:ind w:firstLine="196"/>
      </w:pPr>
    </w:p>
    <w:p>
      <w:pPr>
        <w:pStyle w:val="5"/>
        <w:keepNext w:val="0"/>
        <w:keepLines w:val="0"/>
        <w:numPr>
          <w:ilvl w:val="0"/>
          <w:numId w:val="0"/>
        </w:numPr>
        <w:spacing w:line="500" w:lineRule="exact"/>
        <w:rPr>
          <w:rFonts w:eastAsia="仿宋_GB2312"/>
          <w:b w:val="0"/>
        </w:rPr>
      </w:pPr>
      <w:r>
        <w:rPr>
          <w:rFonts w:hint="eastAsia" w:eastAsia="仿宋_GB2312"/>
          <w:b w:val="0"/>
        </w:rPr>
        <w:t>各省、自治区、直辖市教育厅（教委），新疆生产建设兵团教育局：</w:t>
      </w:r>
    </w:p>
    <w:p>
      <w:pPr>
        <w:pStyle w:val="5"/>
        <w:keepNext w:val="0"/>
        <w:keepLines w:val="0"/>
        <w:numPr>
          <w:ilvl w:val="0"/>
          <w:numId w:val="0"/>
        </w:numPr>
        <w:spacing w:line="500" w:lineRule="exact"/>
        <w:ind w:firstLine="632" w:firstLineChars="200"/>
        <w:rPr>
          <w:rFonts w:eastAsia="仿宋_GB2312"/>
          <w:b w:val="0"/>
        </w:rPr>
      </w:pPr>
      <w:r>
        <w:rPr>
          <w:rFonts w:hint="eastAsia" w:eastAsia="仿宋_GB2312"/>
          <w:b w:val="0"/>
        </w:rPr>
        <w:t>为贯彻落实中共中央办公厅、国务院办公厅印发的《关于进一步减轻义务教育阶段学生作业负担和校外培训负担的意见》，指导各地做好校外培训（包括线上培训和线下培训）治理工作，现就明确义务教育阶段校外培训学科类和非学科类范围通知如下：</w:t>
      </w:r>
    </w:p>
    <w:p>
      <w:pPr>
        <w:pStyle w:val="5"/>
        <w:keepNext w:val="0"/>
        <w:keepLines w:val="0"/>
        <w:numPr>
          <w:ilvl w:val="0"/>
          <w:numId w:val="0"/>
        </w:numPr>
        <w:spacing w:line="500" w:lineRule="exact"/>
        <w:ind w:firstLine="632" w:firstLineChars="200"/>
        <w:rPr>
          <w:rFonts w:eastAsia="仿宋_GB2312"/>
          <w:b w:val="0"/>
        </w:rPr>
      </w:pPr>
      <w:r>
        <w:rPr>
          <w:rFonts w:hint="eastAsia" w:eastAsia="仿宋_GB2312"/>
          <w:b w:val="0"/>
        </w:rPr>
        <w:t>一、</w:t>
      </w:r>
      <w:r>
        <w:rPr>
          <w:rFonts w:hint="eastAsia" w:ascii="Times New Roman" w:hAnsi="Times New Roman" w:eastAsia="仿宋_GB2312"/>
          <w:b w:val="0"/>
        </w:rPr>
        <w:t>根据国家义务教育</w:t>
      </w:r>
      <w:r>
        <w:rPr>
          <w:rFonts w:hint="eastAsia" w:eastAsia="仿宋_GB2312"/>
          <w:b w:val="0"/>
        </w:rPr>
        <w:t>阶段</w:t>
      </w:r>
      <w:r>
        <w:rPr>
          <w:rFonts w:hint="eastAsia" w:ascii="Times New Roman" w:hAnsi="Times New Roman" w:eastAsia="仿宋_GB2312"/>
          <w:b w:val="0"/>
        </w:rPr>
        <w:t>课程设置</w:t>
      </w:r>
      <w:r>
        <w:rPr>
          <w:rFonts w:hint="eastAsia" w:eastAsia="仿宋_GB2312"/>
          <w:b w:val="0"/>
        </w:rPr>
        <w:t>的</w:t>
      </w:r>
      <w:r>
        <w:rPr>
          <w:rFonts w:hint="eastAsia" w:ascii="Times New Roman" w:hAnsi="Times New Roman" w:eastAsia="仿宋_GB2312"/>
          <w:b w:val="0"/>
        </w:rPr>
        <w:t>规定，</w:t>
      </w:r>
      <w:r>
        <w:rPr>
          <w:rFonts w:hint="eastAsia" w:eastAsia="仿宋_GB2312"/>
          <w:b w:val="0"/>
        </w:rPr>
        <w:t>在</w:t>
      </w:r>
      <w:r>
        <w:rPr>
          <w:rFonts w:hint="eastAsia" w:ascii="Times New Roman" w:hAnsi="Times New Roman" w:eastAsia="仿宋_GB2312"/>
          <w:b w:val="0"/>
        </w:rPr>
        <w:t>开展校外培训时，</w:t>
      </w:r>
      <w:r>
        <w:rPr>
          <w:rFonts w:hint="eastAsia" w:eastAsia="仿宋_GB2312"/>
          <w:b w:val="0"/>
        </w:rPr>
        <w:t>道德与法治、语文、历史、地理、数学、外语（英语、日语、俄语）、、物理、化学、生物按照学科类进行管理。对涉及以上学科国家课程标准规定的学习内容进行的校外培训，均列入学科类进行管理。</w:t>
      </w:r>
    </w:p>
    <w:p>
      <w:pPr>
        <w:pStyle w:val="5"/>
        <w:keepNext w:val="0"/>
        <w:keepLines w:val="0"/>
        <w:numPr>
          <w:ilvl w:val="0"/>
          <w:numId w:val="0"/>
        </w:numPr>
        <w:spacing w:line="500" w:lineRule="exact"/>
        <w:ind w:firstLine="632" w:firstLineChars="200"/>
        <w:rPr>
          <w:rFonts w:eastAsia="仿宋_GB2312"/>
          <w:b w:val="0"/>
        </w:rPr>
      </w:pPr>
      <w:r>
        <w:rPr>
          <w:rFonts w:hint="eastAsia" w:eastAsia="仿宋_GB2312"/>
          <w:b w:val="0"/>
        </w:rPr>
        <w:t>二、在</w:t>
      </w:r>
      <w:r>
        <w:rPr>
          <w:rFonts w:hint="eastAsia" w:ascii="Times New Roman" w:hAnsi="Times New Roman" w:eastAsia="仿宋_GB2312"/>
          <w:b w:val="0"/>
        </w:rPr>
        <w:t>开展校外培训时，</w:t>
      </w:r>
      <w:r>
        <w:rPr>
          <w:rFonts w:hint="eastAsia" w:eastAsia="仿宋_GB2312"/>
          <w:b w:val="0"/>
        </w:rPr>
        <w:t>体育（或体育与健康）、艺术（或音乐、美术）学科，以及综合实践活动（含信息技术教育、劳动与技术教育）等按照非学科类进行管理。</w:t>
      </w:r>
    </w:p>
    <w:p>
      <w:pPr>
        <w:pStyle w:val="5"/>
        <w:keepNext w:val="0"/>
        <w:keepLines w:val="0"/>
        <w:numPr>
          <w:ilvl w:val="0"/>
          <w:numId w:val="0"/>
        </w:numPr>
        <w:spacing w:line="500" w:lineRule="exact"/>
        <w:ind w:firstLine="632" w:firstLineChars="200"/>
        <w:rPr>
          <w:rFonts w:eastAsia="仿宋_GB2312"/>
          <w:sz w:val="30"/>
          <w:szCs w:val="30"/>
        </w:rPr>
      </w:pPr>
      <w:r>
        <w:rPr>
          <w:rFonts w:hint="eastAsia" w:eastAsia="仿宋_GB2312"/>
          <w:b w:val="0"/>
        </w:rPr>
        <w:t>各地要严格按照国家课程方案和课程标准进行审核把关，加强日常监管和监督检查</w:t>
      </w:r>
    </w:p>
    <w:p>
      <w:pPr>
        <w:spacing w:line="500" w:lineRule="exact"/>
        <w:rPr>
          <w:rFonts w:eastAsia="仿宋_GB2312"/>
          <w:sz w:val="30"/>
          <w:szCs w:val="30"/>
        </w:rPr>
      </w:pPr>
    </w:p>
    <w:p>
      <w:pPr>
        <w:spacing w:line="500" w:lineRule="exact"/>
        <w:rPr>
          <w:rFonts w:eastAsia="仿宋_GB2312"/>
          <w:sz w:val="30"/>
          <w:szCs w:val="30"/>
        </w:rPr>
      </w:pPr>
      <w:r>
        <w:rPr>
          <w:rFonts w:hint="eastAsia" w:ascii="仿宋_GB2312" w:eastAsia="仿宋_GB2312"/>
          <w:sz w:val="30"/>
          <w:szCs w:val="30"/>
        </w:rPr>
        <mc:AlternateContent>
          <mc:Choice Requires="wps">
            <w:drawing>
              <wp:anchor distT="0" distB="0" distL="114300" distR="114300" simplePos="0" relativeHeight="251662336" behindDoc="0" locked="0" layoutInCell="1" allowOverlap="1">
                <wp:simplePos x="0" y="0"/>
                <wp:positionH relativeFrom="margin">
                  <wp:posOffset>3644900</wp:posOffset>
                </wp:positionH>
                <wp:positionV relativeFrom="page">
                  <wp:posOffset>18769330</wp:posOffset>
                </wp:positionV>
                <wp:extent cx="5615940" cy="0"/>
                <wp:effectExtent l="12700" t="11430" r="22860" b="26670"/>
                <wp:wrapTopAndBottom/>
                <wp:docPr id="6" name="直线连接符 6"/>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6" o:spid="_x0000_s1026" o:spt="20" style="position:absolute;left:0pt;margin-left:287pt;margin-top:1477.9pt;height:0pt;width:442.2pt;mso-position-horizontal-relative:margin;mso-position-vertical-relative:page;mso-wrap-distance-bottom:0pt;mso-wrap-distance-top:0pt;z-index:251662336;mso-width-relative:page;mso-height-relative:page;" filled="f" stroked="t" coordsize="21600,21600"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D&#10;y/x42QAAAA4BAAAPAAAAAAAAAAEAIAAAADgAAABkcnMvZG93bnJldi54bWxQSwECFAAUAAAACACH&#10;TuJABgoOzNQBAABqAwAADgAAAAAAAAABACAAAAA+AQAAZHJzL2Uyb0RvYy54bWxQSwUGAAAAAAYA&#10;BgBZAQAAhA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1312" behindDoc="0" locked="0" layoutInCell="1" allowOverlap="1">
                <wp:simplePos x="0" y="0"/>
                <wp:positionH relativeFrom="margin">
                  <wp:posOffset>3644900</wp:posOffset>
                </wp:positionH>
                <wp:positionV relativeFrom="page">
                  <wp:posOffset>18769330</wp:posOffset>
                </wp:positionV>
                <wp:extent cx="5615940" cy="0"/>
                <wp:effectExtent l="12700" t="11430" r="22860" b="26670"/>
                <wp:wrapTopAndBottom/>
                <wp:docPr id="5" name="直线连接符 5"/>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5" o:spid="_x0000_s1026" o:spt="20" style="position:absolute;left:0pt;margin-left:287pt;margin-top:1477.9pt;height:0pt;width:442.2pt;mso-position-horizontal-relative:margin;mso-position-vertical-relative:page;mso-wrap-distance-bottom:0pt;mso-wrap-distance-top:0pt;z-index:251661312;mso-width-relative:page;mso-height-relative:page;" filled="f" stroked="t" coordsize="21600,21600"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D&#10;y/x42QAAAA4BAAAPAAAAAAAAAAEAIAAAADgAAABkcnMvZG93bnJldi54bWxQSwECFAAUAAAACACH&#10;TuJA7CBDANQBAABqAwAADgAAAAAAAAABACAAAAA+AQAAZHJzL2Uyb0RvYy54bWxQSwUGAAAAAAYA&#10;BgBZAQAAhA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18373090</wp:posOffset>
                </wp:positionV>
                <wp:extent cx="5615940" cy="0"/>
                <wp:effectExtent l="12700" t="8890" r="22860" b="29210"/>
                <wp:wrapTopAndBottom/>
                <wp:docPr id="4" name="直线连接符 4"/>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4" o:spid="_x0000_s1026" o:spt="20" style="position:absolute;left:0pt;margin-left:287pt;margin-top:1446.7pt;height:0pt;width:442.2pt;mso-position-horizontal-relative:margin;mso-position-vertical-relative:page;mso-wrap-distance-bottom:0pt;mso-wrap-distance-top:0pt;z-index:251660288;mso-width-relative:page;mso-height-relative:page;" filled="f" stroked="t" coordsize="21600,21600" o:gfxdata="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mc/C9oAAAAOAQAADwAAAAAAAAABACAAAAA4AAAAZHJzL2Rvd25yZXYueG1sUEsBAhQAFAAAAAgA&#10;h07iQEo5eETUAQAAagMAAA4AAAAAAAAAAQAgAAAAPwEAAGRycy9lMm9Eb2MueG1sUEsFBgAAAAAG&#10;AAYAWQEAAIUFA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5408" behindDoc="0" locked="0" layoutInCell="1" allowOverlap="1">
                <wp:simplePos x="0" y="0"/>
                <wp:positionH relativeFrom="margin">
                  <wp:posOffset>3644900</wp:posOffset>
                </wp:positionH>
                <wp:positionV relativeFrom="page">
                  <wp:posOffset>18769330</wp:posOffset>
                </wp:positionV>
                <wp:extent cx="5615940" cy="0"/>
                <wp:effectExtent l="12700" t="11430" r="22860" b="26670"/>
                <wp:wrapTopAndBottom/>
                <wp:docPr id="3" name="直线连接符 3"/>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3" o:spid="_x0000_s1026" o:spt="20" style="position:absolute;left:0pt;margin-left:287pt;margin-top:1477.9pt;height:0pt;width:442.2pt;mso-position-horizontal-relative:margin;mso-position-vertical-relative:page;mso-wrap-distance-bottom:0pt;mso-wrap-distance-top:0pt;z-index:251665408;mso-width-relative:page;mso-height-relative:page;" filled="f" stroked="t" coordsize="21600,21600"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A8v8eNkAAAAOAQAADwAAAAAAAAABACAAAAA4AAAAZHJzL2Rvd25yZXYueG1sUEsBAhQAFAAAAAgA&#10;h07iQHlzqEPVAQAAagMAAA4AAAAAAAAAAQAgAAAAPgEAAGRycy9lMm9Eb2MueG1sUEsFBgAAAAAG&#10;AAYAWQEAAIUFA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4384" behindDoc="0" locked="0" layoutInCell="1" allowOverlap="1">
                <wp:simplePos x="0" y="0"/>
                <wp:positionH relativeFrom="margin">
                  <wp:posOffset>3644900</wp:posOffset>
                </wp:positionH>
                <wp:positionV relativeFrom="page">
                  <wp:posOffset>18769330</wp:posOffset>
                </wp:positionV>
                <wp:extent cx="5615940" cy="0"/>
                <wp:effectExtent l="12700" t="11430" r="22860" b="26670"/>
                <wp:wrapTopAndBottom/>
                <wp:docPr id="2" name="直线连接符 2"/>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2" o:spid="_x0000_s1026" o:spt="20" style="position:absolute;left:0pt;margin-left:287pt;margin-top:1477.9pt;height:0pt;width:442.2pt;mso-position-horizontal-relative:margin;mso-position-vertical-relative:page;mso-wrap-distance-bottom:0pt;mso-wrap-distance-top:0pt;z-index:251664384;mso-width-relative:page;mso-height-relative:page;" filled="f" stroked="t" coordsize="21600,21600" o:gfxdata="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D&#10;y/x42QAAAA4BAAAPAAAAAAAAAAEAIAAAADgAAABkcnMvZG93bnJldi54bWxQSwECFAAUAAAACACH&#10;TuJA32qTB9QBAABqAwAADgAAAAAAAAABACAAAAA+AQAAZHJzL2Uyb0RvYy54bWxQSwUGAAAAAAYA&#10;BgBZAQAAhA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3360" behindDoc="0" locked="0" layoutInCell="1" allowOverlap="1">
                <wp:simplePos x="0" y="0"/>
                <wp:positionH relativeFrom="margin">
                  <wp:posOffset>3644900</wp:posOffset>
                </wp:positionH>
                <wp:positionV relativeFrom="page">
                  <wp:posOffset>18373090</wp:posOffset>
                </wp:positionV>
                <wp:extent cx="5615940" cy="0"/>
                <wp:effectExtent l="12700" t="8890" r="22860" b="29210"/>
                <wp:wrapTopAndBottom/>
                <wp:docPr id="1" name="直线连接符 1"/>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1" o:spid="_x0000_s1026" o:spt="20" style="position:absolute;left:0pt;margin-left:287pt;margin-top:1446.7pt;height:0pt;width:442.2pt;mso-position-horizontal-relative:margin;mso-position-vertical-relative:page;mso-wrap-distance-bottom:0pt;mso-wrap-distance-top:0pt;z-index:251663360;mso-width-relative:page;mso-height-relative:page;" filled="f" stroked="t" coordsize="21600,21600" o:gfxdata="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mc/C9oAAAAOAQAADwAAAAAAAAABACAAAAA4AAAAZHJzL2Rvd25yZXYueG1sUEsBAhQAFAAAAAgA&#10;h07iQDVA3svUAQAAagMAAA4AAAAAAAAAAQAgAAAAPwEAAGRycy9lMm9Eb2MueG1sUEsFBgAAAAAG&#10;AAYAWQEAAIUFAAAAAA==&#10;">
                <v:fill on="f" focussize="0,0"/>
                <v:stroke color="#000000" joinstyle="round"/>
                <v:imagedata o:title=""/>
                <o:lock v:ext="edit" aspectratio="f"/>
                <w10:wrap type="topAndBottom"/>
              </v:line>
            </w:pict>
          </mc:Fallback>
        </mc:AlternateContent>
      </w:r>
    </w:p>
    <w:p>
      <w:pPr>
        <w:spacing w:line="500" w:lineRule="exact"/>
        <w:ind w:firstLine="5372" w:firstLineChars="1700"/>
        <w:rPr>
          <w:rFonts w:eastAsia="仿宋_GB2312"/>
        </w:rPr>
      </w:pPr>
      <w:r>
        <w:rPr>
          <w:rFonts w:eastAsia="仿宋_GB2312"/>
        </w:rPr>
        <w:t>教育部办公厅</w:t>
      </w:r>
    </w:p>
    <w:p>
      <w:pPr>
        <w:spacing w:line="500" w:lineRule="exact"/>
        <w:ind w:firstLine="5214" w:firstLineChars="1650"/>
        <w:rPr>
          <w:rFonts w:ascii="黑体" w:hAnsi="黑体" w:eastAsia="黑体" w:cs="黑体"/>
        </w:rPr>
      </w:pPr>
      <w:r>
        <w:rPr>
          <w:rFonts w:eastAsia="仿宋_GB2312"/>
        </w:rPr>
        <w:t>20</w:t>
      </w:r>
      <w:r>
        <w:rPr>
          <w:rFonts w:hint="eastAsia" w:eastAsia="仿宋_GB2312"/>
        </w:rPr>
        <w:t>21</w:t>
      </w:r>
      <w:r>
        <w:rPr>
          <w:rFonts w:eastAsia="仿宋_GB2312"/>
        </w:rPr>
        <w:t>年</w:t>
      </w:r>
      <w:r>
        <w:rPr>
          <w:rFonts w:hint="eastAsia" w:eastAsia="仿宋_GB2312"/>
        </w:rPr>
        <w:t>7</w:t>
      </w:r>
      <w:r>
        <w:rPr>
          <w:rFonts w:eastAsia="仿宋_GB2312"/>
        </w:rPr>
        <w:t>月</w:t>
      </w:r>
      <w:r>
        <w:rPr>
          <w:rFonts w:hint="eastAsia" w:eastAsia="仿宋_GB2312"/>
        </w:rPr>
        <w:t>28</w:t>
      </w:r>
      <w:r>
        <w:rPr>
          <w:rFonts w:eastAsia="仿宋_GB2312"/>
        </w:rPr>
        <w:t>日</w:t>
      </w:r>
    </w:p>
    <w:p>
      <w:pPr>
        <w:pStyle w:val="20"/>
        <w:shd w:val="clear" w:color="auto" w:fill="auto"/>
        <w:spacing w:before="0" w:after="180" w:line="240" w:lineRule="auto"/>
        <w:jc w:val="left"/>
        <w:rPr>
          <w:rFonts w:ascii="黑体" w:hAnsi="黑体" w:eastAsia="黑体" w:cs="黑体"/>
          <w:spacing w:val="0"/>
        </w:rPr>
      </w:pPr>
      <w:r>
        <w:rPr>
          <w:rFonts w:hint="eastAsia" w:ascii="黑体" w:hAnsi="黑体" w:eastAsia="黑体" w:cs="黑体"/>
          <w:spacing w:val="0"/>
        </w:rPr>
        <w:t>附件3</w:t>
      </w:r>
    </w:p>
    <w:p>
      <w:pPr>
        <w:spacing w:line="7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福建省中小学生校外培训项目分类鉴别指南</w:t>
      </w:r>
    </w:p>
    <w:p>
      <w:pPr>
        <w:pStyle w:val="2"/>
        <w:ind w:firstLine="632" w:firstLineChars="200"/>
        <w:jc w:val="both"/>
        <w:rPr>
          <w:rFonts w:eastAsia="仿宋_GB2312"/>
          <w:sz w:val="32"/>
          <w:szCs w:val="32"/>
        </w:rPr>
      </w:pPr>
    </w:p>
    <w:p>
      <w:pPr>
        <w:pStyle w:val="2"/>
        <w:ind w:firstLine="632" w:firstLineChars="200"/>
        <w:jc w:val="both"/>
        <w:rPr>
          <w:rFonts w:eastAsia="仿宋_GB2312"/>
          <w:sz w:val="32"/>
          <w:szCs w:val="32"/>
        </w:rPr>
      </w:pPr>
      <w:r>
        <w:rPr>
          <w:rFonts w:hint="eastAsia" w:eastAsia="仿宋_GB2312"/>
          <w:sz w:val="32"/>
          <w:szCs w:val="32"/>
        </w:rPr>
        <w:t>根据</w:t>
      </w:r>
      <w:r>
        <w:rPr>
          <w:rFonts w:eastAsia="仿宋_GB2312"/>
          <w:sz w:val="32"/>
          <w:szCs w:val="32"/>
        </w:rPr>
        <w:t>中共中央办公厅、国务院办公厅《关于进一步减轻义务教育阶段学生作业负担和校外培训负担的意见》</w:t>
      </w:r>
      <w:r>
        <w:rPr>
          <w:rFonts w:hint="eastAsia" w:eastAsia="仿宋_GB2312"/>
          <w:sz w:val="32"/>
          <w:szCs w:val="32"/>
        </w:rPr>
        <w:t>和教育部办公厅印发的《义务教育阶段校外培训项目分类鉴别指南》</w:t>
      </w:r>
      <w:r>
        <w:rPr>
          <w:rFonts w:eastAsia="仿宋_GB2312"/>
          <w:sz w:val="32"/>
          <w:szCs w:val="32"/>
        </w:rPr>
        <w:t>，</w:t>
      </w:r>
      <w:r>
        <w:rPr>
          <w:rFonts w:hint="eastAsia" w:eastAsia="仿宋_GB2312"/>
          <w:sz w:val="32"/>
          <w:szCs w:val="32"/>
        </w:rPr>
        <w:t>为</w:t>
      </w:r>
      <w:r>
        <w:rPr>
          <w:rFonts w:eastAsia="仿宋_GB2312"/>
          <w:sz w:val="32"/>
          <w:szCs w:val="32"/>
        </w:rPr>
        <w:t>加强对</w:t>
      </w:r>
      <w:r>
        <w:rPr>
          <w:rFonts w:hint="eastAsia" w:eastAsia="仿宋_GB2312"/>
          <w:sz w:val="32"/>
          <w:szCs w:val="32"/>
        </w:rPr>
        <w:t>中小学生</w:t>
      </w:r>
      <w:r>
        <w:rPr>
          <w:rFonts w:eastAsia="仿宋_GB2312"/>
          <w:sz w:val="32"/>
          <w:szCs w:val="32"/>
        </w:rPr>
        <w:t>校外培训机构</w:t>
      </w:r>
      <w:r>
        <w:rPr>
          <w:rFonts w:hint="eastAsia" w:eastAsia="仿宋_GB2312"/>
          <w:sz w:val="32"/>
          <w:szCs w:val="32"/>
        </w:rPr>
        <w:t>“</w:t>
      </w:r>
      <w:r>
        <w:rPr>
          <w:rFonts w:eastAsia="仿宋_GB2312"/>
          <w:sz w:val="32"/>
          <w:szCs w:val="32"/>
        </w:rPr>
        <w:t>学科类</w:t>
      </w:r>
      <w:r>
        <w:rPr>
          <w:rFonts w:hint="eastAsia" w:eastAsia="仿宋_GB2312"/>
          <w:sz w:val="32"/>
          <w:szCs w:val="32"/>
        </w:rPr>
        <w:t>”</w:t>
      </w:r>
      <w:r>
        <w:rPr>
          <w:rFonts w:eastAsia="仿宋_GB2312"/>
          <w:sz w:val="32"/>
          <w:szCs w:val="32"/>
        </w:rPr>
        <w:t>项目鉴别管理，</w:t>
      </w:r>
      <w:r>
        <w:rPr>
          <w:rFonts w:hint="eastAsia" w:eastAsia="仿宋_GB2312"/>
          <w:sz w:val="32"/>
          <w:szCs w:val="32"/>
        </w:rPr>
        <w:t>制定本指南。</w:t>
      </w:r>
    </w:p>
    <w:p>
      <w:pPr>
        <w:pStyle w:val="2"/>
        <w:numPr>
          <w:ilvl w:val="0"/>
          <w:numId w:val="2"/>
        </w:numPr>
        <w:ind w:firstLine="632" w:firstLineChars="200"/>
        <w:jc w:val="both"/>
        <w:rPr>
          <w:rFonts w:ascii="黑体" w:hAnsi="黑体" w:eastAsia="黑体" w:cs="黑体"/>
          <w:sz w:val="32"/>
          <w:szCs w:val="32"/>
        </w:rPr>
      </w:pPr>
      <w:r>
        <w:rPr>
          <w:rFonts w:hint="eastAsia" w:ascii="黑体" w:hAnsi="黑体" w:eastAsia="黑体" w:cs="黑体"/>
          <w:sz w:val="32"/>
          <w:szCs w:val="32"/>
        </w:rPr>
        <w:t>适用范围</w:t>
      </w:r>
    </w:p>
    <w:p>
      <w:pPr>
        <w:pStyle w:val="2"/>
        <w:ind w:firstLine="632" w:firstLineChars="200"/>
        <w:jc w:val="both"/>
        <w:rPr>
          <w:rFonts w:eastAsia="仿宋_GB2312"/>
          <w:sz w:val="32"/>
          <w:szCs w:val="32"/>
        </w:rPr>
      </w:pPr>
      <w:r>
        <w:rPr>
          <w:rFonts w:hint="eastAsia" w:eastAsia="仿宋_GB2312"/>
          <w:sz w:val="32"/>
          <w:szCs w:val="32"/>
        </w:rPr>
        <w:t>校外培训机构面向中小学生（含义务教育阶段和高中阶段）实施校外培训，适用本指南。面向</w:t>
      </w:r>
      <w:r>
        <w:rPr>
          <w:rFonts w:hint="eastAsia" w:ascii="仿宋_GB2312" w:hAnsi="仿宋_GB2312" w:eastAsia="仿宋_GB2312" w:cs="仿宋_GB2312"/>
          <w:sz w:val="32"/>
          <w:szCs w:val="32"/>
        </w:rPr>
        <w:t>3至6</w:t>
      </w:r>
      <w:r>
        <w:rPr>
          <w:rFonts w:hint="eastAsia" w:eastAsia="仿宋_GB2312"/>
          <w:sz w:val="32"/>
          <w:szCs w:val="32"/>
        </w:rPr>
        <w:t>岁学龄前儿童实施培训服务的机构，参照执行。</w:t>
      </w:r>
    </w:p>
    <w:p>
      <w:pPr>
        <w:pStyle w:val="5"/>
        <w:keepNext w:val="0"/>
        <w:keepLines w:val="0"/>
        <w:numPr>
          <w:ilvl w:val="0"/>
          <w:numId w:val="0"/>
        </w:numPr>
        <w:wordWrap w:val="0"/>
        <w:spacing w:line="580" w:lineRule="exact"/>
        <w:ind w:firstLine="632" w:firstLineChars="200"/>
        <w:rPr>
          <w:rFonts w:ascii="Times New Roman" w:hAnsi="Times New Roman" w:cs="Times New Roman"/>
          <w:b w:val="0"/>
          <w:bCs/>
        </w:rPr>
      </w:pPr>
      <w:r>
        <w:rPr>
          <w:rFonts w:ascii="Times New Roman" w:hAnsi="Times New Roman" w:cs="Times New Roman"/>
          <w:b w:val="0"/>
          <w:bCs/>
        </w:rPr>
        <w:t>二、基本原则</w:t>
      </w:r>
    </w:p>
    <w:p>
      <w:pPr>
        <w:pStyle w:val="9"/>
        <w:widowControl w:val="0"/>
        <w:wordWrap w:val="0"/>
        <w:spacing w:beforeAutospacing="0" w:afterAutospacing="0" w:line="580" w:lineRule="exact"/>
        <w:ind w:firstLine="632" w:firstLineChars="200"/>
        <w:jc w:val="both"/>
        <w:rPr>
          <w:rFonts w:ascii="Times New Roman" w:hAnsi="Times New Roman" w:eastAsia="仿宋_GB2312" w:cs="Times New Roman"/>
          <w:sz w:val="32"/>
        </w:rPr>
      </w:pPr>
      <w:r>
        <w:rPr>
          <w:rFonts w:ascii="Times New Roman" w:hAnsi="Times New Roman" w:eastAsia="仿宋_GB2312" w:cs="Times New Roman"/>
          <w:sz w:val="32"/>
        </w:rPr>
        <w:t>校外培训项目分类鉴别工作，遵循以下原则：</w:t>
      </w:r>
    </w:p>
    <w:p>
      <w:pPr>
        <w:wordWrap w:val="0"/>
        <w:spacing w:line="580" w:lineRule="exact"/>
        <w:ind w:firstLine="632" w:firstLineChars="200"/>
        <w:rPr>
          <w:rFonts w:eastAsia="仿宋_GB2312"/>
          <w:highlight w:val="yellow"/>
        </w:rPr>
      </w:pPr>
      <w:r>
        <w:rPr>
          <w:rFonts w:eastAsia="楷体"/>
          <w:b/>
          <w:bCs/>
        </w:rPr>
        <w:t>（一）坚持从严规范。</w:t>
      </w:r>
      <w:r>
        <w:rPr>
          <w:rFonts w:eastAsia="仿宋_GB2312"/>
        </w:rPr>
        <w:t>深刻领会贯彻中央“双减”</w:t>
      </w:r>
      <w:r>
        <w:rPr>
          <w:rFonts w:hint="eastAsia" w:eastAsia="仿宋_GB2312"/>
        </w:rPr>
        <w:t>政策</w:t>
      </w:r>
      <w:r>
        <w:rPr>
          <w:rFonts w:eastAsia="仿宋_GB2312"/>
        </w:rPr>
        <w:t>精神，严格遵照国家相关法律法规和政策规定，落实属地行政管理责任，明晰界线、从严要求、规范程序，体现权威性和严肃性。</w:t>
      </w:r>
    </w:p>
    <w:p>
      <w:pPr>
        <w:wordWrap w:val="0"/>
        <w:spacing w:line="580" w:lineRule="exact"/>
        <w:ind w:firstLine="632" w:firstLineChars="200"/>
        <w:rPr>
          <w:rFonts w:eastAsia="仿宋_GB2312"/>
        </w:rPr>
      </w:pPr>
      <w:r>
        <w:rPr>
          <w:rFonts w:eastAsia="楷体"/>
          <w:b/>
          <w:bCs/>
        </w:rPr>
        <w:t>（二）坚持科学严谨。</w:t>
      </w:r>
      <w:r>
        <w:rPr>
          <w:rFonts w:eastAsia="仿宋_GB2312"/>
        </w:rPr>
        <w:t>充分依靠专家力量，尊重学科规律和教学规律，综合培训项目的实际情况，立足具体问题具体分析，给出客观、公正、独立的专业鉴别意见，确保科学与严谨。</w:t>
      </w:r>
    </w:p>
    <w:p>
      <w:pPr>
        <w:wordWrap w:val="0"/>
        <w:spacing w:line="580" w:lineRule="exact"/>
        <w:ind w:firstLine="632" w:firstLineChars="200"/>
        <w:rPr>
          <w:rFonts w:eastAsia="仿宋_GB2312"/>
        </w:rPr>
      </w:pPr>
      <w:r>
        <w:rPr>
          <w:rFonts w:eastAsia="楷体"/>
          <w:b/>
          <w:bCs/>
        </w:rPr>
        <w:t>（三）坚持统筹协调。</w:t>
      </w:r>
      <w:r>
        <w:rPr>
          <w:rFonts w:eastAsia="仿宋_GB2312"/>
        </w:rPr>
        <w:t>加强主管部门之间横向配合、</w:t>
      </w:r>
      <w:r>
        <w:rPr>
          <w:rFonts w:hint="eastAsia" w:eastAsia="仿宋_GB2312"/>
        </w:rPr>
        <w:t>地市</w:t>
      </w:r>
      <w:r>
        <w:rPr>
          <w:rFonts w:eastAsia="仿宋_GB2312"/>
        </w:rPr>
        <w:t>之间协同推进，坚持“一盘棋”，避免在实践中出现“低洼区”“空白区”“矛盾区”。积极研究和应对工作中出现的各种新情况、新问题，不断探索创新，在实践中完善制度和机制。</w:t>
      </w:r>
    </w:p>
    <w:p>
      <w:pPr>
        <w:pStyle w:val="5"/>
        <w:keepNext w:val="0"/>
        <w:keepLines w:val="0"/>
        <w:numPr>
          <w:ilvl w:val="0"/>
          <w:numId w:val="0"/>
        </w:numPr>
        <w:wordWrap w:val="0"/>
        <w:spacing w:line="580" w:lineRule="exact"/>
        <w:ind w:firstLine="632" w:firstLineChars="200"/>
        <w:rPr>
          <w:rFonts w:ascii="Times New Roman" w:hAnsi="Times New Roman" w:cs="Times New Roman"/>
          <w:b w:val="0"/>
          <w:bCs/>
        </w:rPr>
      </w:pPr>
      <w:r>
        <w:rPr>
          <w:rFonts w:ascii="Times New Roman" w:hAnsi="Times New Roman" w:cs="Times New Roman"/>
          <w:b w:val="0"/>
          <w:bCs/>
        </w:rPr>
        <w:t>三、鉴别依据</w:t>
      </w:r>
    </w:p>
    <w:p>
      <w:pPr>
        <w:pStyle w:val="19"/>
        <w:wordWrap w:val="0"/>
        <w:spacing w:line="580" w:lineRule="exact"/>
        <w:ind w:firstLine="632" w:firstLineChars="200"/>
        <w:rPr>
          <w:rFonts w:ascii="Times New Roman" w:hAnsi="Times New Roman" w:eastAsia="仿宋_GB2312" w:cs="Times New Roman"/>
        </w:rPr>
      </w:pPr>
      <w:r>
        <w:rPr>
          <w:rFonts w:ascii="Times New Roman" w:hAnsi="Times New Roman" w:eastAsia="仿宋_GB2312" w:cs="Times New Roman"/>
        </w:rPr>
        <w:t>根据</w:t>
      </w:r>
      <w:r>
        <w:rPr>
          <w:rFonts w:hint="eastAsia" w:ascii="Times New Roman" w:hAnsi="Times New Roman" w:eastAsia="仿宋_GB2312" w:cs="Times New Roman"/>
        </w:rPr>
        <w:t>《中共中央办公厅、国务院办公厅印发&lt;关于进一步减轻义务教育阶段学生作业负担和校外培训负担的意见&gt;的通知》（中办发</w:t>
      </w:r>
      <w:r>
        <w:rPr>
          <w:rFonts w:ascii="Times New Roman" w:hAnsi="Times New Roman" w:eastAsia="仿宋_GB2312" w:cs="Times New Roman"/>
        </w:rPr>
        <w:t>〔2021〕</w:t>
      </w:r>
      <w:r>
        <w:rPr>
          <w:rFonts w:hint="eastAsia" w:ascii="Times New Roman" w:hAnsi="Times New Roman" w:eastAsia="仿宋_GB2312" w:cs="Times New Roman"/>
        </w:rPr>
        <w:t>40号）</w:t>
      </w:r>
      <w:r>
        <w:rPr>
          <w:rFonts w:ascii="Times New Roman" w:hAnsi="Times New Roman" w:eastAsia="仿宋_GB2312" w:cs="Times New Roman"/>
        </w:rPr>
        <w:t>《教育部办公厅关于进一步明确义务教育阶段校外培训学科类和非学科类范围的通知》</w:t>
      </w:r>
      <w:r>
        <w:rPr>
          <w:rFonts w:hint="eastAsia" w:ascii="Times New Roman" w:hAnsi="Times New Roman" w:eastAsia="仿宋_GB2312" w:cs="Times New Roman"/>
        </w:rPr>
        <w:t>（</w:t>
      </w:r>
      <w:r>
        <w:rPr>
          <w:rFonts w:ascii="Times New Roman" w:hAnsi="Times New Roman" w:eastAsia="仿宋_GB2312" w:cs="Times New Roman"/>
        </w:rPr>
        <w:t>教监管厅函〔2021〕</w:t>
      </w:r>
      <w:r>
        <w:rPr>
          <w:rFonts w:hint="eastAsia" w:ascii="Times New Roman" w:hAnsi="Times New Roman" w:eastAsia="仿宋_GB2312" w:cs="Times New Roman"/>
        </w:rPr>
        <w:t>3</w:t>
      </w:r>
      <w:r>
        <w:rPr>
          <w:rFonts w:ascii="Times New Roman" w:hAnsi="Times New Roman" w:eastAsia="仿宋_GB2312" w:cs="Times New Roman"/>
        </w:rPr>
        <w:t>号</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w:t>
      </w:r>
      <w:r>
        <w:rPr>
          <w:rFonts w:hint="eastAsia" w:eastAsia="仿宋_GB2312"/>
        </w:rPr>
        <w:t>教育部办公厅关于印发&lt;义务教育阶段校外培训项目分类鉴别指南&gt;的通知》</w:t>
      </w:r>
      <w:r>
        <w:rPr>
          <w:rFonts w:hint="eastAsia" w:ascii="Times New Roman" w:hAnsi="Times New Roman" w:eastAsia="仿宋_GB2312" w:cs="Times New Roman"/>
        </w:rPr>
        <w:t>（</w:t>
      </w:r>
      <w:r>
        <w:rPr>
          <w:rFonts w:ascii="Times New Roman" w:hAnsi="Times New Roman" w:eastAsia="仿宋_GB2312" w:cs="Times New Roman"/>
        </w:rPr>
        <w:t>教监管厅函〔2021〕</w:t>
      </w:r>
      <w:r>
        <w:rPr>
          <w:rFonts w:hint="eastAsia" w:ascii="Times New Roman" w:hAnsi="Times New Roman" w:eastAsia="仿宋_GB2312" w:cs="Times New Roman"/>
        </w:rPr>
        <w:t>16</w:t>
      </w:r>
      <w:r>
        <w:rPr>
          <w:rFonts w:ascii="Times New Roman" w:hAnsi="Times New Roman" w:eastAsia="仿宋_GB2312" w:cs="Times New Roman"/>
        </w:rPr>
        <w:t>号</w:t>
      </w:r>
      <w:r>
        <w:rPr>
          <w:rFonts w:hint="eastAsia" w:ascii="Times New Roman" w:hAnsi="Times New Roman" w:eastAsia="仿宋_GB2312" w:cs="Times New Roman"/>
        </w:rPr>
        <w:t>）</w:t>
      </w:r>
      <w:r>
        <w:rPr>
          <w:rFonts w:hint="eastAsia" w:eastAsia="仿宋_GB2312"/>
        </w:rPr>
        <w:t>、</w:t>
      </w:r>
      <w:r>
        <w:rPr>
          <w:rFonts w:hint="eastAsia" w:ascii="Times New Roman" w:hAnsi="Times New Roman" w:eastAsia="仿宋_GB2312" w:cs="Times New Roman"/>
        </w:rPr>
        <w:t>中小学</w:t>
      </w:r>
      <w:r>
        <w:rPr>
          <w:rFonts w:ascii="Times New Roman" w:hAnsi="Times New Roman" w:eastAsia="仿宋_GB2312" w:cs="Times New Roman"/>
        </w:rPr>
        <w:t>国家课程方案和课程标准等文件规定，结合校外培训的实际情况，</w:t>
      </w:r>
      <w:r>
        <w:rPr>
          <w:rFonts w:ascii="Times New Roman" w:hAnsi="Times New Roman" w:eastAsia="仿宋_GB2312" w:cs="Times New Roman"/>
          <w:kern w:val="0"/>
        </w:rPr>
        <w:t>对培训项目</w:t>
      </w:r>
      <w:r>
        <w:rPr>
          <w:rFonts w:ascii="Times New Roman" w:hAnsi="Times New Roman" w:eastAsia="仿宋_GB2312" w:cs="Times New Roman"/>
        </w:rPr>
        <w:t>类别进行鉴别。主要从培训目的、培训内容、培训方式、评价方式等维度进行综合考量，如符合以下特征，即判定为学科类培训项目。</w:t>
      </w:r>
    </w:p>
    <w:p>
      <w:pPr>
        <w:wordWrap w:val="0"/>
        <w:spacing w:line="580" w:lineRule="exact"/>
        <w:ind w:firstLine="632" w:firstLineChars="200"/>
        <w:rPr>
          <w:rFonts w:eastAsia="仿宋_GB2312"/>
          <w:u w:val="single"/>
        </w:rPr>
      </w:pPr>
      <w:r>
        <w:rPr>
          <w:rFonts w:hint="eastAsia" w:eastAsia="楷体"/>
          <w:b/>
          <w:bCs/>
        </w:rPr>
        <w:t>（一）</w:t>
      </w:r>
      <w:r>
        <w:rPr>
          <w:rFonts w:eastAsia="楷体"/>
          <w:b/>
          <w:bCs/>
        </w:rPr>
        <w:t>培训目的：</w:t>
      </w:r>
      <w:r>
        <w:rPr>
          <w:rFonts w:eastAsia="仿宋_GB2312"/>
        </w:rPr>
        <w:t>以学科知识与技能培训为导向，主要为提升</w:t>
      </w:r>
      <w:r>
        <w:rPr>
          <w:rFonts w:hint="eastAsia" w:eastAsia="仿宋_GB2312"/>
        </w:rPr>
        <w:t>学科学习</w:t>
      </w:r>
      <w:r>
        <w:rPr>
          <w:rFonts w:eastAsia="仿宋_GB2312"/>
        </w:rPr>
        <w:t>成绩服务。</w:t>
      </w:r>
    </w:p>
    <w:p>
      <w:pPr>
        <w:wordWrap w:val="0"/>
        <w:spacing w:line="580" w:lineRule="exact"/>
        <w:ind w:firstLine="632" w:firstLineChars="200"/>
        <w:rPr>
          <w:rFonts w:eastAsia="仿宋_GB2312"/>
        </w:rPr>
      </w:pPr>
      <w:r>
        <w:rPr>
          <w:rFonts w:eastAsia="楷体"/>
          <w:b/>
          <w:bCs/>
        </w:rPr>
        <w:t>（二）培训内容：</w:t>
      </w:r>
      <w:r>
        <w:rPr>
          <w:rFonts w:eastAsia="仿宋_GB2312"/>
        </w:rPr>
        <w:t>主要涉及道德与法治、语文、历史、地理、数学、外语（英语、日语、俄语）、物理、化学、生物等学科学习内容。</w:t>
      </w:r>
    </w:p>
    <w:p>
      <w:pPr>
        <w:wordWrap w:val="0"/>
        <w:spacing w:line="580" w:lineRule="exact"/>
        <w:ind w:firstLine="632" w:firstLineChars="200"/>
        <w:rPr>
          <w:rFonts w:eastAsia="仿宋_GB2312"/>
        </w:rPr>
      </w:pPr>
      <w:r>
        <w:rPr>
          <w:rFonts w:eastAsia="楷体"/>
          <w:b/>
          <w:bCs/>
        </w:rPr>
        <w:t>（三）培训方式：</w:t>
      </w:r>
      <w:r>
        <w:rPr>
          <w:rFonts w:eastAsia="仿宋_GB2312"/>
        </w:rPr>
        <w:t>重在进行学科知识讲解、听说读写算等学科能力训练，以预习、授课和巩固</w:t>
      </w:r>
      <w:r>
        <w:rPr>
          <w:rFonts w:hint="eastAsia" w:eastAsia="仿宋_GB2312"/>
        </w:rPr>
        <w:t>练习</w:t>
      </w:r>
      <w:r>
        <w:rPr>
          <w:rFonts w:eastAsia="仿宋_GB2312"/>
        </w:rPr>
        <w:t>等为主要过程，以教师（包括虚拟者、</w:t>
      </w:r>
      <w:r>
        <w:rPr>
          <w:rFonts w:hint="eastAsia" w:eastAsia="仿宋_GB2312"/>
        </w:rPr>
        <w:t>人工智能</w:t>
      </w:r>
      <w:r>
        <w:rPr>
          <w:rFonts w:eastAsia="仿宋_GB2312"/>
        </w:rPr>
        <w:t>等）讲授示范、互动等为主要形式。</w:t>
      </w:r>
    </w:p>
    <w:p>
      <w:pPr>
        <w:wordWrap w:val="0"/>
        <w:spacing w:line="580" w:lineRule="exact"/>
        <w:ind w:firstLine="632" w:firstLineChars="200"/>
        <w:rPr>
          <w:rStyle w:val="18"/>
          <w:rFonts w:eastAsia="仿宋_GB2312"/>
          <w:bCs/>
        </w:rPr>
      </w:pPr>
      <w:r>
        <w:rPr>
          <w:rFonts w:eastAsia="楷体"/>
          <w:b/>
          <w:bCs/>
        </w:rPr>
        <w:t>（四）结果评价：</w:t>
      </w:r>
      <w:r>
        <w:rPr>
          <w:rFonts w:eastAsia="仿宋_GB2312"/>
        </w:rPr>
        <w:t>对学生的评价</w:t>
      </w:r>
      <w:r>
        <w:rPr>
          <w:rStyle w:val="18"/>
          <w:rFonts w:eastAsia="仿宋_GB2312"/>
          <w:bCs/>
        </w:rPr>
        <w:t>侧重甄别与选拔，以学习成绩、考试结果等作为主要评价依据。</w:t>
      </w:r>
    </w:p>
    <w:p>
      <w:pPr>
        <w:pStyle w:val="5"/>
        <w:keepNext w:val="0"/>
        <w:keepLines w:val="0"/>
        <w:numPr>
          <w:ilvl w:val="0"/>
          <w:numId w:val="0"/>
        </w:numPr>
        <w:wordWrap w:val="0"/>
        <w:spacing w:line="580" w:lineRule="exact"/>
        <w:ind w:firstLine="632" w:firstLineChars="200"/>
        <w:rPr>
          <w:rFonts w:ascii="Times New Roman" w:hAnsi="Times New Roman" w:cs="Times New Roman"/>
          <w:b w:val="0"/>
          <w:bCs/>
        </w:rPr>
      </w:pPr>
      <w:r>
        <w:rPr>
          <w:rFonts w:hint="eastAsia" w:ascii="Times New Roman" w:hAnsi="Times New Roman" w:cs="Times New Roman"/>
          <w:b w:val="0"/>
          <w:bCs/>
        </w:rPr>
        <w:t>四、鉴别程序</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（一）分级建立鉴别专家委员会。</w:t>
      </w:r>
      <w:r>
        <w:rPr>
          <w:rFonts w:hint="eastAsia" w:ascii="仿宋_GB2312" w:hAnsi="仿宋_GB2312" w:eastAsia="仿宋_GB2312" w:cs="仿宋_GB2312"/>
          <w:kern w:val="2"/>
          <w:sz w:val="32"/>
          <w:szCs w:val="32"/>
        </w:rPr>
        <w:t>建立省、市、县三级鉴别专家委员会，分别由本级教育行政部门牵头组织成立。委员会成员</w:t>
      </w:r>
      <w:r>
        <w:rPr>
          <w:rFonts w:ascii="Times New Roman" w:hAnsi="Times New Roman" w:eastAsia="仿宋_GB2312"/>
          <w:sz w:val="32"/>
          <w:szCs w:val="32"/>
        </w:rPr>
        <w:t>应包括相关学科、课程、教学等方面专家</w:t>
      </w:r>
      <w:r>
        <w:rPr>
          <w:rFonts w:hint="eastAsia" w:ascii="仿宋_GB2312" w:hAnsi="仿宋_GB2312" w:eastAsia="仿宋_GB2312" w:cs="仿宋_GB2312"/>
          <w:kern w:val="2"/>
          <w:sz w:val="32"/>
          <w:szCs w:val="32"/>
        </w:rPr>
        <w:t xml:space="preserve">，文旅、体育、科技和人社等部门分别推荐的文化艺术类、体育类、科技类、劳动技术类培训机构的行业专家，以及法律顾问等人员参与组成。省级由省教育厅委托省教科所成立鉴别专家委员会并负责日常鉴定工作，各设区市、县（区）教育行政部门可参照组建鉴别专家委员会，并安排必要的经费保障。 </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（二）机构自主提出鉴别申请。</w:t>
      </w:r>
      <w:r>
        <w:rPr>
          <w:rFonts w:hint="eastAsia" w:ascii="仿宋_GB2312" w:hAnsi="仿宋_GB2312" w:eastAsia="仿宋_GB2312" w:cs="仿宋_GB2312"/>
          <w:kern w:val="2"/>
          <w:sz w:val="32"/>
          <w:szCs w:val="32"/>
        </w:rPr>
        <w:t>不明确属于学科类或者非学科类的校外培训机构可向属地教育行政部门提交《校外培训机构学科和非学科类培训项目鉴别申请表》（见附件）及相关佐证材料，申请鉴别确认。培训机构应当如实报送鉴别材料，确保材料真实准确、与今后办学行为相符，对隐瞒情况或提供虚假材料、对外宣传与实际培训项目类别不一致的，依法依规严肃处置。</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（三）属地专家委员会实施鉴别。</w:t>
      </w:r>
      <w:r>
        <w:rPr>
          <w:rFonts w:hint="eastAsia" w:ascii="仿宋_GB2312" w:hAnsi="仿宋_GB2312" w:eastAsia="仿宋_GB2312" w:cs="仿宋_GB2312"/>
          <w:kern w:val="2"/>
          <w:sz w:val="32"/>
          <w:szCs w:val="32"/>
        </w:rPr>
        <w:t>培训机构所在县（市、区）教育行政部门牵头，组织专家委员会对培训机构提交的申请材料进行审核，</w:t>
      </w:r>
      <w:r>
        <w:rPr>
          <w:rFonts w:ascii="Times New Roman" w:hAnsi="Times New Roman" w:eastAsia="仿宋_GB2312"/>
          <w:sz w:val="32"/>
          <w:szCs w:val="32"/>
        </w:rPr>
        <w:t>可通过资料审查、实地查看、课堂观察、人员访谈等多种方式，</w:t>
      </w:r>
      <w:r>
        <w:rPr>
          <w:rFonts w:hint="eastAsia" w:ascii="Times New Roman" w:hAnsi="Times New Roman" w:eastAsia="仿宋_GB2312"/>
          <w:sz w:val="32"/>
          <w:szCs w:val="32"/>
        </w:rPr>
        <w:t>结合</w:t>
      </w:r>
      <w:r>
        <w:rPr>
          <w:rFonts w:ascii="Times New Roman" w:hAnsi="Times New Roman" w:eastAsia="仿宋_GB2312"/>
          <w:sz w:val="32"/>
          <w:szCs w:val="32"/>
        </w:rPr>
        <w:t>培训目的、</w:t>
      </w:r>
      <w:r>
        <w:rPr>
          <w:rFonts w:hint="eastAsia" w:ascii="Times New Roman" w:hAnsi="Times New Roman" w:eastAsia="仿宋_GB2312"/>
          <w:sz w:val="32"/>
          <w:szCs w:val="32"/>
        </w:rPr>
        <w:t>对象、</w:t>
      </w:r>
      <w:r>
        <w:rPr>
          <w:rFonts w:ascii="Times New Roman" w:hAnsi="Times New Roman" w:eastAsia="仿宋_GB2312"/>
          <w:sz w:val="32"/>
          <w:szCs w:val="32"/>
        </w:rPr>
        <w:t>内容、</w:t>
      </w:r>
      <w:r>
        <w:rPr>
          <w:rFonts w:hint="eastAsia" w:ascii="Times New Roman" w:hAnsi="Times New Roman" w:eastAsia="仿宋_GB2312"/>
          <w:sz w:val="32"/>
          <w:szCs w:val="32"/>
        </w:rPr>
        <w:t>培训</w:t>
      </w:r>
      <w:r>
        <w:rPr>
          <w:rFonts w:ascii="Times New Roman" w:hAnsi="Times New Roman" w:eastAsia="仿宋_GB2312"/>
          <w:sz w:val="32"/>
          <w:szCs w:val="32"/>
        </w:rPr>
        <w:t>方式、评价</w:t>
      </w:r>
      <w:r>
        <w:rPr>
          <w:rFonts w:hint="eastAsia" w:ascii="Times New Roman" w:hAnsi="Times New Roman" w:eastAsia="仿宋_GB2312"/>
          <w:sz w:val="32"/>
          <w:szCs w:val="32"/>
        </w:rPr>
        <w:t>方式、</w:t>
      </w:r>
      <w:r>
        <w:rPr>
          <w:rFonts w:hint="eastAsia" w:ascii="仿宋_GB2312" w:hAnsi="仿宋_GB2312" w:eastAsia="仿宋_GB2312" w:cs="仿宋_GB2312"/>
          <w:kern w:val="2"/>
          <w:sz w:val="32"/>
          <w:szCs w:val="32"/>
        </w:rPr>
        <w:t>所使用的教学资源或培训材料</w:t>
      </w:r>
      <w:r>
        <w:rPr>
          <w:rFonts w:ascii="Times New Roman" w:hAnsi="Times New Roman" w:eastAsia="仿宋_GB2312"/>
          <w:sz w:val="32"/>
          <w:szCs w:val="32"/>
        </w:rPr>
        <w:t>等具体情况</w:t>
      </w:r>
      <w:r>
        <w:rPr>
          <w:rFonts w:hint="eastAsia" w:ascii="Times New Roman" w:hAnsi="Times New Roman" w:eastAsia="仿宋_GB2312"/>
          <w:sz w:val="32"/>
          <w:szCs w:val="32"/>
        </w:rPr>
        <w:t>，进行综合研判，提出</w:t>
      </w:r>
      <w:r>
        <w:rPr>
          <w:rFonts w:hint="eastAsia" w:ascii="仿宋_GB2312" w:hAnsi="仿宋_GB2312" w:eastAsia="仿宋_GB2312" w:cs="仿宋_GB2312"/>
          <w:kern w:val="2"/>
          <w:sz w:val="32"/>
          <w:szCs w:val="32"/>
        </w:rPr>
        <w:t>初步鉴别意见，经专家委员会集体审议通过后形成鉴定报告，报本级有关职能部门。</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（四）鉴别结果备案和审阅。</w:t>
      </w:r>
      <w:r>
        <w:rPr>
          <w:rFonts w:hint="eastAsia" w:ascii="仿宋_GB2312" w:hAnsi="仿宋_GB2312" w:eastAsia="仿宋_GB2312" w:cs="仿宋_GB2312"/>
          <w:kern w:val="2"/>
          <w:sz w:val="32"/>
          <w:szCs w:val="32"/>
        </w:rPr>
        <w:t>专家作出的鉴别报告作为相关职能部门的重要工作参考，需明确“学科类”或者“非学科类”，并注明参与鉴别的专家姓名及其专业职务。县（市、区）教育行政部门鉴别结果应报设区市教育局备案。各设区市教育局要加强对县（市、区）鉴别工作的指导，组织本级专家委员会对县（市、区）备案的鉴别结果进行审阅，及时纠偏矫正，确保本地区标准和操作步调一致，避免出现同类培训项目在不同县（市、区）给出差异鉴别结果。</w:t>
      </w:r>
    </w:p>
    <w:p>
      <w:pPr>
        <w:pStyle w:val="2"/>
        <w:ind w:firstLine="632" w:firstLineChars="200"/>
        <w:jc w:val="both"/>
        <w:rPr>
          <w:rFonts w:ascii="黑体" w:hAnsi="黑体" w:eastAsia="黑体" w:cs="黑体"/>
          <w:kern w:val="2"/>
          <w:sz w:val="32"/>
          <w:szCs w:val="32"/>
        </w:rPr>
      </w:pPr>
      <w:r>
        <w:rPr>
          <w:rFonts w:hint="eastAsia" w:ascii="黑体" w:hAnsi="黑体" w:eastAsia="黑体" w:cs="黑体"/>
          <w:kern w:val="2"/>
          <w:sz w:val="32"/>
          <w:szCs w:val="32"/>
        </w:rPr>
        <w:t>五、工作要求</w:t>
      </w:r>
    </w:p>
    <w:p>
      <w:pPr>
        <w:pStyle w:val="2"/>
        <w:spacing w:line="500" w:lineRule="exact"/>
        <w:ind w:firstLine="316"/>
        <w:jc w:val="lef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楷体_GB2312" w:hAnsi="楷体_GB2312" w:eastAsia="楷体_GB2312" w:cs="楷体_GB2312"/>
          <w:b/>
          <w:bCs/>
          <w:kern w:val="2"/>
          <w:sz w:val="32"/>
          <w:szCs w:val="32"/>
        </w:rPr>
        <w:t>（一）统一推进步调。</w:t>
      </w:r>
      <w:r>
        <w:rPr>
          <w:rFonts w:hint="eastAsia" w:ascii="仿宋_GB2312" w:hAnsi="仿宋_GB2312" w:eastAsia="仿宋_GB2312" w:cs="仿宋_GB2312"/>
          <w:kern w:val="2"/>
          <w:sz w:val="32"/>
          <w:szCs w:val="32"/>
        </w:rPr>
        <w:t>鉴别工作应坚持统一标准、分级推进的原则。本通知发布后，各设区市应抓紧时间研制鉴别工作方案，并报省教育厅备案后实施，标准与大多数地市不一致的要及时修正，确保全省标准统一。各县（市、区）应在设区市方案下发后，进一步研制细化的本地区工作方案，并报设区市备案后实施，</w:t>
      </w:r>
      <w:r>
        <w:rPr>
          <w:rFonts w:hint="eastAsia" w:ascii="Times New Roman" w:hAnsi="Times New Roman" w:eastAsia="仿宋_GB2312"/>
          <w:sz w:val="32"/>
          <w:szCs w:val="32"/>
        </w:rPr>
        <w:t>确保全市标准一致。</w:t>
      </w:r>
      <w:r>
        <w:rPr>
          <w:rFonts w:ascii="Times New Roman" w:hAnsi="Times New Roman" w:eastAsia="仿宋_GB2312"/>
          <w:sz w:val="32"/>
          <w:szCs w:val="32"/>
        </w:rPr>
        <w:t>各地</w:t>
      </w:r>
      <w:r>
        <w:rPr>
          <w:rFonts w:hint="eastAsia" w:ascii="Times New Roman" w:hAnsi="Times New Roman" w:eastAsia="仿宋_GB2312"/>
          <w:sz w:val="32"/>
          <w:szCs w:val="32"/>
        </w:rPr>
        <w:t>要</w:t>
      </w:r>
      <w:r>
        <w:rPr>
          <w:rFonts w:ascii="Times New Roman" w:hAnsi="Times New Roman" w:eastAsia="仿宋_GB2312"/>
          <w:sz w:val="32"/>
          <w:szCs w:val="32"/>
        </w:rPr>
        <w:t>认真总结</w:t>
      </w:r>
      <w:r>
        <w:rPr>
          <w:rFonts w:hint="eastAsia" w:ascii="Times New Roman" w:hAnsi="Times New Roman" w:eastAsia="仿宋_GB2312"/>
          <w:sz w:val="32"/>
          <w:szCs w:val="32"/>
        </w:rPr>
        <w:t>、</w:t>
      </w:r>
      <w:r>
        <w:rPr>
          <w:rFonts w:hint="eastAsia" w:ascii="仿宋_GB2312" w:hAnsi="仿宋_GB2312" w:eastAsia="仿宋_GB2312" w:cs="仿宋_GB2312"/>
          <w:kern w:val="2"/>
          <w:sz w:val="32"/>
          <w:szCs w:val="32"/>
        </w:rPr>
        <w:t>主动收集代表性鉴别案例，进一步细化不同情境下的鉴别评定标准，建立典型案例资料库，</w:t>
      </w:r>
      <w:r>
        <w:rPr>
          <w:rFonts w:ascii="Times New Roman" w:hAnsi="Times New Roman" w:eastAsia="仿宋_GB2312"/>
          <w:sz w:val="32"/>
          <w:szCs w:val="32"/>
        </w:rPr>
        <w:t>促进信息互通共享，</w:t>
      </w:r>
      <w:r>
        <w:rPr>
          <w:rFonts w:hint="eastAsia" w:ascii="仿宋_GB2312" w:hAnsi="仿宋_GB2312" w:eastAsia="仿宋_GB2312" w:cs="仿宋_GB2312"/>
          <w:kern w:val="2"/>
          <w:sz w:val="32"/>
          <w:szCs w:val="32"/>
        </w:rPr>
        <w:t>不断积累和丰富鉴别经验，</w:t>
      </w:r>
      <w:r>
        <w:rPr>
          <w:rFonts w:ascii="Times New Roman" w:hAnsi="Times New Roman" w:eastAsia="仿宋_GB2312"/>
          <w:sz w:val="32"/>
          <w:szCs w:val="32"/>
        </w:rPr>
        <w:t>推动一线鉴别工作更加准确、高效</w:t>
      </w:r>
      <w:r>
        <w:rPr>
          <w:rFonts w:hint="eastAsia" w:ascii="仿宋_GB2312" w:hAnsi="仿宋_GB2312" w:eastAsia="仿宋_GB2312" w:cs="仿宋_GB2312"/>
          <w:kern w:val="2"/>
          <w:sz w:val="32"/>
          <w:szCs w:val="32"/>
        </w:rPr>
        <w:t>。鉴别工作原则上由机构属地各县（市、区）为主负责，在</w:t>
      </w:r>
      <w:r>
        <w:rPr>
          <w:rFonts w:hint="eastAsia" w:ascii="Times New Roman" w:hAnsi="Times New Roman" w:eastAsia="仿宋_GB2312"/>
          <w:sz w:val="32"/>
          <w:szCs w:val="32"/>
        </w:rPr>
        <w:t>出现较大争议或难以鉴别的个案时，</w:t>
      </w:r>
      <w:r>
        <w:rPr>
          <w:rFonts w:hint="eastAsia" w:ascii="仿宋_GB2312" w:hAnsi="仿宋_GB2312" w:eastAsia="仿宋_GB2312" w:cs="仿宋_GB2312"/>
          <w:kern w:val="2"/>
          <w:sz w:val="32"/>
          <w:szCs w:val="32"/>
        </w:rPr>
        <w:t>下级</w:t>
      </w:r>
      <w:r>
        <w:rPr>
          <w:rFonts w:hint="eastAsia" w:ascii="Times New Roman" w:hAnsi="Times New Roman" w:eastAsia="仿宋_GB2312"/>
          <w:sz w:val="32"/>
          <w:szCs w:val="32"/>
        </w:rPr>
        <w:t>教育行政部门可以提请上级教育行政部门进行研究裁决。</w:t>
      </w:r>
      <w:r>
        <w:rPr>
          <w:rFonts w:ascii="Times New Roman" w:hAnsi="Times New Roman" w:eastAsia="仿宋_GB2312"/>
          <w:sz w:val="32"/>
          <w:szCs w:val="32"/>
        </w:rPr>
        <w:t>在其他主管部门开展非学科类培训管理过程中，根据工作需要，</w:t>
      </w:r>
      <w:r>
        <w:rPr>
          <w:rFonts w:hint="eastAsia" w:ascii="Times New Roman" w:hAnsi="Times New Roman" w:eastAsia="仿宋_GB2312"/>
          <w:sz w:val="32"/>
          <w:szCs w:val="32"/>
        </w:rPr>
        <w:t>同级</w:t>
      </w:r>
      <w:r>
        <w:rPr>
          <w:rFonts w:ascii="Times New Roman" w:hAnsi="Times New Roman" w:eastAsia="仿宋_GB2312"/>
          <w:sz w:val="32"/>
          <w:szCs w:val="32"/>
        </w:rPr>
        <w:t>教育行政部门可协助提供有关培训项目分类鉴别意见，并对“学科类”鉴别有最终决定权。</w:t>
      </w:r>
    </w:p>
    <w:p>
      <w:pPr>
        <w:pStyle w:val="19"/>
        <w:wordWrap w:val="0"/>
        <w:spacing w:line="500" w:lineRule="exact"/>
        <w:ind w:firstLine="632" w:firstLineChars="200"/>
        <w:rPr>
          <w:rFonts w:ascii="Times New Roman" w:hAnsi="Times New Roman" w:eastAsia="仿宋_GB2312" w:cs="Times New Roman"/>
        </w:rPr>
      </w:pPr>
      <w:r>
        <w:rPr>
          <w:rFonts w:hint="eastAsia" w:ascii="楷体_GB2312" w:hAnsi="楷体_GB2312" w:eastAsia="楷体_GB2312" w:cs="楷体_GB2312"/>
          <w:b/>
          <w:bCs/>
        </w:rPr>
        <w:t>（二）严格遴选专家。</w:t>
      </w:r>
      <w:r>
        <w:rPr>
          <w:rFonts w:hint="eastAsia" w:ascii="Times New Roman" w:hAnsi="Times New Roman" w:eastAsia="仿宋_GB2312" w:cs="Times New Roman"/>
        </w:rPr>
        <w:t>参加鉴定委员会的专家，必须同时具备专业资格和良好品德，确保科学鉴别、客观公正。专业资格包括：自身为具有学科、课程、教研等多方面专业水平的教育专家或了解行政管理规范的法律专家；能够准确理解相关政策法规，熟悉课程方案和相关的学科课程标准及教材；具有副高级以上专业技术职称。良好品德包括：政治立场坚定，正确理解党的教育方针；遵纪守法，有良好的品行、社会形象和师德师风；自身</w:t>
      </w:r>
      <w:r>
        <w:rPr>
          <w:rFonts w:ascii="Times New Roman" w:hAnsi="Times New Roman" w:eastAsia="仿宋_GB2312" w:cs="Times New Roman"/>
        </w:rPr>
        <w:t>及直系亲属</w:t>
      </w:r>
      <w:r>
        <w:rPr>
          <w:rFonts w:hint="eastAsia" w:ascii="Times New Roman" w:hAnsi="Times New Roman" w:eastAsia="仿宋_GB2312" w:cs="Times New Roman"/>
        </w:rPr>
        <w:t>未在</w:t>
      </w:r>
      <w:r>
        <w:rPr>
          <w:rFonts w:ascii="Times New Roman" w:hAnsi="Times New Roman" w:eastAsia="仿宋_GB2312" w:cs="Times New Roman"/>
        </w:rPr>
        <w:t>培训机构中任职或兼职、属于非利益相关方</w:t>
      </w:r>
      <w:r>
        <w:rPr>
          <w:rFonts w:hint="eastAsia" w:ascii="Times New Roman" w:hAnsi="Times New Roman" w:eastAsia="仿宋_GB2312" w:cs="Times New Roman"/>
        </w:rPr>
        <w:t>。专家开展鉴别工</w:t>
      </w:r>
      <w:r>
        <w:rPr>
          <w:rFonts w:ascii="Times New Roman" w:hAnsi="Times New Roman" w:eastAsia="仿宋_GB2312" w:cs="Times New Roman"/>
        </w:rPr>
        <w:t>作不得受外界干扰，不得</w:t>
      </w:r>
      <w:r>
        <w:rPr>
          <w:rFonts w:hint="eastAsia" w:ascii="Times New Roman" w:hAnsi="Times New Roman" w:eastAsia="仿宋_GB2312" w:cs="Times New Roman"/>
        </w:rPr>
        <w:t>玩忽职守、滥用职权、</w:t>
      </w:r>
      <w:r>
        <w:rPr>
          <w:rFonts w:ascii="Times New Roman" w:hAnsi="Times New Roman" w:eastAsia="仿宋_GB2312" w:cs="Times New Roman"/>
        </w:rPr>
        <w:t>徇私舞弊，确保结论的真实、客观、公正。</w:t>
      </w:r>
    </w:p>
    <w:p>
      <w:pPr>
        <w:pStyle w:val="2"/>
        <w:spacing w:line="500" w:lineRule="exact"/>
        <w:ind w:firstLine="631" w:firstLineChars="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（三）严惩虚假申报。</w:t>
      </w:r>
      <w:r>
        <w:rPr>
          <w:rFonts w:ascii="Times New Roman" w:hAnsi="Times New Roman" w:eastAsia="仿宋_GB2312"/>
          <w:sz w:val="32"/>
          <w:szCs w:val="32"/>
        </w:rPr>
        <w:t>培训机构应落实自主管理责任，对开展的培训项目类别进行</w:t>
      </w:r>
      <w:r>
        <w:rPr>
          <w:rFonts w:hint="eastAsia" w:ascii="Times New Roman" w:hAnsi="Times New Roman" w:eastAsia="仿宋_GB2312"/>
          <w:sz w:val="32"/>
          <w:szCs w:val="32"/>
        </w:rPr>
        <w:t>自我研判、</w:t>
      </w:r>
      <w:r>
        <w:rPr>
          <w:rFonts w:ascii="Times New Roman" w:hAnsi="Times New Roman" w:eastAsia="仿宋_GB2312"/>
          <w:sz w:val="32"/>
          <w:szCs w:val="32"/>
        </w:rPr>
        <w:t>自评自查，自觉按照“学科类”或者“非学科类”的相关管理要求，规范开展培训活动，不</w:t>
      </w:r>
      <w:r>
        <w:rPr>
          <w:rFonts w:ascii="Times New Roman" w:hAnsi="Times New Roman" w:eastAsia="仿宋_GB2312"/>
          <w:spacing w:val="-8"/>
          <w:sz w:val="32"/>
          <w:szCs w:val="32"/>
        </w:rPr>
        <w:t>得出现名不符实的情况</w:t>
      </w:r>
      <w:r>
        <w:rPr>
          <w:rFonts w:hint="eastAsia" w:ascii="Times New Roman" w:hAnsi="Times New Roman" w:eastAsia="仿宋_GB2312"/>
          <w:spacing w:val="-8"/>
          <w:sz w:val="32"/>
          <w:szCs w:val="32"/>
        </w:rPr>
        <w:t>，不得隐形变异违规开展学科类培训活动</w:t>
      </w:r>
      <w:r>
        <w:rPr>
          <w:rFonts w:ascii="Times New Roman" w:hAnsi="Times New Roman" w:eastAsia="仿宋_GB2312"/>
          <w:spacing w:val="-8"/>
          <w:sz w:val="32"/>
          <w:szCs w:val="32"/>
        </w:rPr>
        <w:t>。</w:t>
      </w:r>
      <w:r>
        <w:rPr>
          <w:rFonts w:hint="eastAsia" w:ascii="仿宋_GB2312" w:hAnsi="仿宋_GB2312" w:eastAsia="仿宋_GB2312" w:cs="仿宋_GB2312"/>
          <w:kern w:val="2"/>
          <w:sz w:val="32"/>
          <w:szCs w:val="32"/>
        </w:rPr>
        <w:t>各地要将培训项目鉴别工作和</w:t>
      </w:r>
      <w:r>
        <w:rPr>
          <w:rFonts w:hint="eastAsia" w:ascii="仿宋_GB2312" w:hAnsi="仿宋_GB2312" w:eastAsia="仿宋_GB2312" w:cs="仿宋_GB2312"/>
          <w:color w:val="auto"/>
          <w:kern w:val="2"/>
          <w:sz w:val="32"/>
          <w:szCs w:val="32"/>
        </w:rPr>
        <w:t>查处变相违规开展学科类校外培训工作结合起来，持续贯彻落实《教育部办公厅关于坚决查处变相违规开展学科类校外培训问题的通知》（</w:t>
      </w:r>
      <w:r>
        <w:rPr>
          <w:rFonts w:hint="eastAsia" w:ascii="仿宋_GB2312" w:hAnsi="仿宋_GB2312" w:eastAsia="仿宋_GB2312" w:cs="仿宋_GB2312"/>
          <w:sz w:val="32"/>
          <w:szCs w:val="32"/>
        </w:rPr>
        <w:t>教监管厅函〔2021〕8号</w:t>
      </w:r>
      <w:r>
        <w:rPr>
          <w:rFonts w:hint="eastAsia" w:ascii="仿宋_GB2312" w:hAnsi="仿宋_GB2312" w:eastAsia="仿宋_GB2312" w:cs="仿宋_GB2312"/>
          <w:color w:val="auto"/>
          <w:kern w:val="2"/>
          <w:sz w:val="32"/>
          <w:szCs w:val="32"/>
        </w:rPr>
        <w:t>）要求，坚决防止个别机构“钻空子”“打擦边球”，以“非学科”之名行“学科”之实。</w:t>
      </w:r>
      <w:r>
        <w:rPr>
          <w:rFonts w:hint="eastAsia" w:ascii="仿宋_GB2312" w:hAnsi="仿宋_GB2312" w:eastAsia="仿宋_GB2312" w:cs="仿宋_GB2312"/>
          <w:kern w:val="2"/>
          <w:sz w:val="32"/>
          <w:szCs w:val="32"/>
        </w:rPr>
        <w:t>对于弄虚作假骗取“非学科”鉴定结果以及在获取“非学科”鉴定结果后违规开展学科培训行为的校外培训机构，撤销其鉴定认定，依法依规严肃处置，列入当年度校外培训机构黑名单，并向社会公开通报处置结果。</w:t>
      </w:r>
    </w:p>
    <w:p>
      <w:pPr>
        <w:pStyle w:val="20"/>
        <w:shd w:val="clear" w:color="auto" w:fill="auto"/>
        <w:spacing w:before="0" w:after="180" w:line="240" w:lineRule="auto"/>
        <w:jc w:val="left"/>
        <w:rPr>
          <w:rFonts w:ascii="黑体" w:hAnsi="黑体" w:eastAsia="黑体" w:cs="黑体"/>
          <w:spacing w:val="0"/>
        </w:rPr>
      </w:pPr>
    </w:p>
    <w:p>
      <w:pPr>
        <w:pStyle w:val="20"/>
        <w:shd w:val="clear" w:color="auto" w:fill="auto"/>
        <w:spacing w:before="0" w:after="180" w:line="240" w:lineRule="auto"/>
        <w:jc w:val="left"/>
        <w:rPr>
          <w:rFonts w:ascii="黑体" w:hAnsi="黑体" w:eastAsia="黑体" w:cs="黑体"/>
          <w:spacing w:val="0"/>
        </w:rPr>
      </w:pPr>
    </w:p>
    <w:p>
      <w:pPr>
        <w:pStyle w:val="20"/>
        <w:shd w:val="clear" w:color="auto" w:fill="auto"/>
        <w:spacing w:before="0" w:after="180" w:line="240" w:lineRule="auto"/>
        <w:jc w:val="left"/>
        <w:rPr>
          <w:rFonts w:ascii="黑体" w:hAnsi="黑体" w:eastAsia="黑体" w:cs="黑体"/>
          <w:spacing w:val="0"/>
        </w:rPr>
      </w:pPr>
    </w:p>
    <w:p>
      <w:pPr>
        <w:pStyle w:val="20"/>
        <w:shd w:val="clear" w:color="auto" w:fill="auto"/>
        <w:spacing w:before="0" w:after="180" w:line="240" w:lineRule="auto"/>
        <w:jc w:val="left"/>
        <w:rPr>
          <w:rFonts w:ascii="黑体" w:hAnsi="黑体" w:eastAsia="黑体" w:cs="黑体"/>
          <w:spacing w:val="0"/>
        </w:rPr>
      </w:pPr>
      <w:r>
        <w:rPr>
          <w:rFonts w:ascii="黑体" w:hAnsi="黑体" w:eastAsia="黑体" w:cs="黑体"/>
          <w:spacing w:val="0"/>
        </w:rPr>
        <w:t>附件4</w:t>
      </w:r>
    </w:p>
    <w:p>
      <w:pPr>
        <w:pStyle w:val="22"/>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校外培训机构学科和非学科类培训项目鉴别申请表</w:t>
      </w:r>
    </w:p>
    <w:tbl>
      <w:tblPr>
        <w:tblStyle w:val="10"/>
        <w:tblW w:w="0" w:type="auto"/>
        <w:jc w:val="center"/>
        <w:tblLayout w:type="fixed"/>
        <w:tblCellMar>
          <w:top w:w="0" w:type="dxa"/>
          <w:left w:w="10" w:type="dxa"/>
          <w:bottom w:w="0" w:type="dxa"/>
          <w:right w:w="10" w:type="dxa"/>
        </w:tblCellMar>
      </w:tblPr>
      <w:tblGrid>
        <w:gridCol w:w="1627"/>
        <w:gridCol w:w="768"/>
        <w:gridCol w:w="1723"/>
        <w:gridCol w:w="1114"/>
        <w:gridCol w:w="1315"/>
        <w:gridCol w:w="1939"/>
      </w:tblGrid>
      <w:tr>
        <w:tblPrEx>
          <w:tblCellMar>
            <w:top w:w="0" w:type="dxa"/>
            <w:left w:w="10" w:type="dxa"/>
            <w:bottom w:w="0" w:type="dxa"/>
            <w:right w:w="10" w:type="dxa"/>
          </w:tblCellMar>
        </w:tblPrEx>
        <w:trPr>
          <w:trHeight w:val="486" w:hRule="exact"/>
          <w:jc w:val="center"/>
        </w:trPr>
        <w:tc>
          <w:tcPr>
            <w:tcW w:w="2395" w:type="dxa"/>
            <w:gridSpan w:val="2"/>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机构名称</w:t>
            </w:r>
          </w:p>
        </w:tc>
        <w:tc>
          <w:tcPr>
            <w:tcW w:w="6091" w:type="dxa"/>
            <w:gridSpan w:val="4"/>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rPr>
          <w:trHeight w:val="442" w:hRule="exact"/>
          <w:jc w:val="center"/>
        </w:trPr>
        <w:tc>
          <w:tcPr>
            <w:tcW w:w="2395" w:type="dxa"/>
            <w:gridSpan w:val="2"/>
            <w:tcBorders>
              <w:top w:val="single" w:color="auto" w:sz="4" w:space="0"/>
              <w:left w:val="single" w:color="auto" w:sz="4" w:space="0"/>
            </w:tcBorders>
            <w:vAlign w:val="center"/>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办学地址</w:t>
            </w:r>
          </w:p>
        </w:tc>
        <w:tc>
          <w:tcPr>
            <w:tcW w:w="6091" w:type="dxa"/>
            <w:gridSpan w:val="4"/>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42" w:hRule="exact"/>
          <w:jc w:val="center"/>
        </w:trPr>
        <w:tc>
          <w:tcPr>
            <w:tcW w:w="2395" w:type="dxa"/>
            <w:gridSpan w:val="2"/>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办学内容</w:t>
            </w:r>
          </w:p>
        </w:tc>
        <w:tc>
          <w:tcPr>
            <w:tcW w:w="2837" w:type="dxa"/>
            <w:gridSpan w:val="2"/>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机构性质</w:t>
            </w: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rPr>
          <w:trHeight w:val="489" w:hRule="exact"/>
          <w:jc w:val="center"/>
        </w:trPr>
        <w:tc>
          <w:tcPr>
            <w:tcW w:w="2395" w:type="dxa"/>
            <w:gridSpan w:val="2"/>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拟认定培训项目</w:t>
            </w:r>
          </w:p>
        </w:tc>
        <w:tc>
          <w:tcPr>
            <w:tcW w:w="2837" w:type="dxa"/>
            <w:gridSpan w:val="2"/>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招生对象</w:t>
            </w: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517" w:hRule="exact"/>
          <w:jc w:val="center"/>
        </w:trPr>
        <w:tc>
          <w:tcPr>
            <w:tcW w:w="2395" w:type="dxa"/>
            <w:gridSpan w:val="2"/>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机构负责人</w:t>
            </w:r>
          </w:p>
        </w:tc>
        <w:tc>
          <w:tcPr>
            <w:tcW w:w="2837" w:type="dxa"/>
            <w:gridSpan w:val="2"/>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联系电话</w:t>
            </w: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rPr>
          <w:trHeight w:val="542" w:hRule="exact"/>
          <w:jc w:val="center"/>
        </w:trPr>
        <w:tc>
          <w:tcPr>
            <w:tcW w:w="5232" w:type="dxa"/>
            <w:gridSpan w:val="4"/>
            <w:tcBorders>
              <w:top w:val="single" w:color="auto" w:sz="4" w:space="0"/>
              <w:left w:val="single" w:color="auto" w:sz="4" w:space="0"/>
            </w:tcBorders>
            <w:vAlign w:val="center"/>
          </w:tcPr>
          <w:p>
            <w:pPr>
              <w:pStyle w:val="21"/>
              <w:spacing w:line="2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属于连锁机构的，是否在其他区域提交申请</w:t>
            </w:r>
          </w:p>
          <w:p>
            <w:pPr>
              <w:pStyle w:val="21"/>
              <w:spacing w:line="2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（是/否，区域名称）</w:t>
            </w:r>
          </w:p>
        </w:tc>
        <w:tc>
          <w:tcPr>
            <w:tcW w:w="3254" w:type="dxa"/>
            <w:gridSpan w:val="2"/>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94" w:hRule="exact"/>
          <w:jc w:val="center"/>
        </w:trPr>
        <w:tc>
          <w:tcPr>
            <w:tcW w:w="8486" w:type="dxa"/>
            <w:gridSpan w:val="6"/>
            <w:tcBorders>
              <w:top w:val="single" w:color="auto" w:sz="4" w:space="0"/>
              <w:left w:val="single" w:color="auto" w:sz="4" w:space="0"/>
              <w:righ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提交材料清单</w:t>
            </w:r>
          </w:p>
        </w:tc>
      </w:tr>
      <w:tr>
        <w:trPr>
          <w:trHeight w:val="471" w:hRule="exact"/>
          <w:jc w:val="center"/>
        </w:trPr>
        <w:tc>
          <w:tcPr>
            <w:tcW w:w="1627" w:type="dxa"/>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编号</w:t>
            </w:r>
          </w:p>
        </w:tc>
        <w:tc>
          <w:tcPr>
            <w:tcW w:w="2491" w:type="dxa"/>
            <w:gridSpan w:val="2"/>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材料名称</w:t>
            </w:r>
          </w:p>
        </w:tc>
        <w:tc>
          <w:tcPr>
            <w:tcW w:w="1114" w:type="dxa"/>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份数</w:t>
            </w:r>
          </w:p>
        </w:tc>
        <w:tc>
          <w:tcPr>
            <w:tcW w:w="1315" w:type="dxa"/>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材料形式</w:t>
            </w:r>
          </w:p>
        </w:tc>
        <w:tc>
          <w:tcPr>
            <w:tcW w:w="1939" w:type="dxa"/>
            <w:tcBorders>
              <w:top w:val="single" w:color="auto" w:sz="4" w:space="0"/>
              <w:left w:val="single" w:color="auto" w:sz="4" w:space="0"/>
              <w:righ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备注</w:t>
            </w:r>
          </w:p>
        </w:tc>
      </w:tr>
      <w:tr>
        <w:tblPrEx>
          <w:tblCellMar>
            <w:top w:w="0" w:type="dxa"/>
            <w:left w:w="10" w:type="dxa"/>
            <w:bottom w:w="0" w:type="dxa"/>
            <w:right w:w="10" w:type="dxa"/>
          </w:tblCellMar>
        </w:tblPrEx>
        <w:trPr>
          <w:trHeight w:val="465" w:hRule="exact"/>
          <w:jc w:val="center"/>
        </w:trPr>
        <w:tc>
          <w:tcPr>
            <w:tcW w:w="1627" w:type="dxa"/>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2491" w:type="dxa"/>
            <w:gridSpan w:val="2"/>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教学计划安排详表</w:t>
            </w:r>
          </w:p>
        </w:tc>
        <w:tc>
          <w:tcPr>
            <w:tcW w:w="1114" w:type="dxa"/>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tcPr>
          <w:p>
            <w:pPr>
              <w:rPr>
                <w:rFonts w:ascii="仿宋_GB2312" w:hAnsi="仿宋_GB2312" w:eastAsia="仿宋_GB2312" w:cs="仿宋_GB2312"/>
                <w:sz w:val="10"/>
                <w:szCs w:val="10"/>
              </w:rPr>
            </w:pP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rPr>
          <w:trHeight w:val="466" w:hRule="exact"/>
          <w:jc w:val="center"/>
        </w:trPr>
        <w:tc>
          <w:tcPr>
            <w:tcW w:w="1627" w:type="dxa"/>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2491" w:type="dxa"/>
            <w:gridSpan w:val="2"/>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教材教辅</w:t>
            </w:r>
          </w:p>
        </w:tc>
        <w:tc>
          <w:tcPr>
            <w:tcW w:w="1114" w:type="dxa"/>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tcPr>
          <w:p>
            <w:pPr>
              <w:rPr>
                <w:rFonts w:ascii="仿宋_GB2312" w:hAnsi="仿宋_GB2312" w:eastAsia="仿宋_GB2312" w:cs="仿宋_GB2312"/>
                <w:sz w:val="10"/>
                <w:szCs w:val="10"/>
              </w:rPr>
            </w:pP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59" w:hRule="exact"/>
          <w:jc w:val="center"/>
        </w:trPr>
        <w:tc>
          <w:tcPr>
            <w:tcW w:w="1627" w:type="dxa"/>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2491" w:type="dxa"/>
            <w:gridSpan w:val="2"/>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学员阶段性评价方式</w:t>
            </w:r>
          </w:p>
        </w:tc>
        <w:tc>
          <w:tcPr>
            <w:tcW w:w="1114" w:type="dxa"/>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tcPr>
          <w:p>
            <w:pPr>
              <w:rPr>
                <w:rFonts w:ascii="仿宋_GB2312" w:hAnsi="仿宋_GB2312" w:eastAsia="仿宋_GB2312" w:cs="仿宋_GB2312"/>
                <w:sz w:val="10"/>
                <w:szCs w:val="10"/>
              </w:rPr>
            </w:pP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rPr>
          <w:trHeight w:val="455" w:hRule="exact"/>
          <w:jc w:val="center"/>
        </w:trPr>
        <w:tc>
          <w:tcPr>
            <w:tcW w:w="1627" w:type="dxa"/>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2491" w:type="dxa"/>
            <w:gridSpan w:val="2"/>
            <w:tcBorders>
              <w:top w:val="single" w:color="auto" w:sz="4" w:space="0"/>
              <w:left w:val="single" w:color="auto" w:sz="4" w:space="0"/>
            </w:tcBorders>
            <w:vAlign w:val="bottom"/>
          </w:tcPr>
          <w:p>
            <w:pPr>
              <w:pStyle w:val="21"/>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其他材料</w:t>
            </w:r>
          </w:p>
        </w:tc>
        <w:tc>
          <w:tcPr>
            <w:tcW w:w="1114" w:type="dxa"/>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tcPr>
          <w:p>
            <w:pPr>
              <w:rPr>
                <w:rFonts w:ascii="仿宋_GB2312" w:hAnsi="仿宋_GB2312" w:eastAsia="仿宋_GB2312" w:cs="仿宋_GB2312"/>
                <w:sz w:val="10"/>
                <w:szCs w:val="10"/>
              </w:rPr>
            </w:pP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953" w:hRule="exact"/>
          <w:jc w:val="center"/>
        </w:trPr>
        <w:tc>
          <w:tcPr>
            <w:tcW w:w="8486" w:type="dxa"/>
            <w:gridSpan w:val="6"/>
            <w:tcBorders>
              <w:top w:val="single" w:color="auto" w:sz="4" w:space="0"/>
              <w:left w:val="single" w:color="auto" w:sz="4" w:space="0"/>
              <w:right w:val="single" w:color="auto" w:sz="4" w:space="0"/>
            </w:tcBorders>
          </w:tcPr>
          <w:p>
            <w:pPr>
              <w:pStyle w:val="21"/>
              <w:spacing w:line="240" w:lineRule="auto"/>
              <w:rPr>
                <w:rFonts w:ascii="仿宋_GB2312" w:hAnsi="仿宋_GB2312" w:eastAsia="仿宋_GB2312" w:cs="仿宋_GB2312"/>
                <w:sz w:val="22"/>
                <w:szCs w:val="22"/>
              </w:rPr>
            </w:pPr>
            <w:r>
              <w:rPr>
                <w:rFonts w:hint="eastAsia" w:ascii="仿宋_GB2312" w:hAnsi="仿宋_GB2312" w:eastAsia="仿宋_GB2312" w:cs="仿宋_GB2312"/>
                <w:sz w:val="22"/>
                <w:szCs w:val="22"/>
              </w:rPr>
              <w:t>申报情况说明（请另附页）</w:t>
            </w:r>
          </w:p>
        </w:tc>
      </w:tr>
      <w:tr>
        <w:trPr>
          <w:trHeight w:val="2084" w:hRule="exact"/>
          <w:jc w:val="center"/>
        </w:trPr>
        <w:tc>
          <w:tcPr>
            <w:tcW w:w="8486" w:type="dxa"/>
            <w:gridSpan w:val="6"/>
            <w:tcBorders>
              <w:top w:val="single" w:color="auto" w:sz="4" w:space="0"/>
              <w:left w:val="single" w:color="auto" w:sz="4" w:space="0"/>
              <w:right w:val="single" w:color="auto" w:sz="4" w:space="0"/>
            </w:tcBorders>
          </w:tcPr>
          <w:p>
            <w:pPr>
              <w:pStyle w:val="21"/>
              <w:spacing w:line="26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本机构承诺：</w:t>
            </w:r>
          </w:p>
          <w:p>
            <w:pPr>
              <w:pStyle w:val="21"/>
              <w:spacing w:line="260" w:lineRule="exact"/>
              <w:ind w:firstLine="420"/>
              <w:rPr>
                <w:rFonts w:ascii="仿宋_GB2312" w:hAnsi="仿宋_GB2312" w:eastAsia="仿宋_GB2312" w:cs="仿宋_GB2312"/>
                <w:sz w:val="22"/>
                <w:szCs w:val="22"/>
              </w:rPr>
            </w:pPr>
            <w:r>
              <w:rPr>
                <w:rFonts w:hint="eastAsia" w:ascii="仿宋_GB2312" w:hAnsi="仿宋_GB2312" w:eastAsia="仿宋_GB2312" w:cs="仿宋_GB2312"/>
                <w:sz w:val="22"/>
                <w:szCs w:val="22"/>
              </w:rPr>
              <w:t>保证所有申请材料真实可靠，与实际教学情形相符。主动接受教育等相关部门现场验 收或日常检查。如申请材料与实际培训项目不符，引起的一切后果，愿承担全部责任，接受处罚。</w:t>
            </w:r>
          </w:p>
          <w:p>
            <w:pPr>
              <w:pStyle w:val="21"/>
              <w:spacing w:line="260" w:lineRule="exact"/>
              <w:ind w:firstLine="420"/>
              <w:rPr>
                <w:rFonts w:ascii="仿宋_GB2312" w:hAnsi="仿宋_GB2312" w:eastAsia="仿宋_GB2312" w:cs="仿宋_GB2312"/>
                <w:sz w:val="22"/>
                <w:szCs w:val="22"/>
              </w:rPr>
            </w:pPr>
            <w:r>
              <w:rPr>
                <w:rFonts w:hint="eastAsia" w:ascii="仿宋_GB2312" w:hAnsi="仿宋_GB2312" w:eastAsia="仿宋_GB2312" w:cs="仿宋_GB2312"/>
                <w:sz w:val="22"/>
                <w:szCs w:val="22"/>
              </w:rPr>
              <w:t>特此承诺。</w:t>
            </w:r>
          </w:p>
          <w:p>
            <w:pPr>
              <w:pStyle w:val="21"/>
              <w:spacing w:line="260" w:lineRule="exact"/>
              <w:ind w:left="4160"/>
              <w:rPr>
                <w:rFonts w:ascii="仿宋_GB2312" w:hAnsi="仿宋_GB2312" w:eastAsia="仿宋_GB2312" w:cs="仿宋_GB2312"/>
                <w:sz w:val="22"/>
                <w:szCs w:val="22"/>
              </w:rPr>
            </w:pPr>
            <w:r>
              <w:rPr>
                <w:rFonts w:hint="eastAsia" w:ascii="仿宋_GB2312" w:hAnsi="仿宋_GB2312" w:eastAsia="仿宋_GB2312" w:cs="仿宋_GB2312"/>
                <w:sz w:val="22"/>
                <w:szCs w:val="22"/>
              </w:rPr>
              <w:t>承诺单位（盖章）：</w:t>
            </w:r>
          </w:p>
          <w:p>
            <w:pPr>
              <w:pStyle w:val="21"/>
              <w:spacing w:line="260" w:lineRule="exact"/>
              <w:ind w:left="4160"/>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法定代表人或校长（签字）：</w:t>
            </w:r>
          </w:p>
          <w:p>
            <w:pPr>
              <w:pStyle w:val="21"/>
              <w:spacing w:line="260" w:lineRule="exact"/>
              <w:ind w:right="200" w:firstLine="6696" w:firstLineChars="3100"/>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年 </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月</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日</w:t>
            </w:r>
          </w:p>
        </w:tc>
      </w:tr>
      <w:tr>
        <w:tblPrEx>
          <w:tblCellMar>
            <w:top w:w="0" w:type="dxa"/>
            <w:left w:w="10" w:type="dxa"/>
            <w:bottom w:w="0" w:type="dxa"/>
            <w:right w:w="10" w:type="dxa"/>
          </w:tblCellMar>
        </w:tblPrEx>
        <w:trPr>
          <w:trHeight w:val="1296" w:hRule="exact"/>
          <w:jc w:val="center"/>
        </w:trPr>
        <w:tc>
          <w:tcPr>
            <w:tcW w:w="1627" w:type="dxa"/>
            <w:tcBorders>
              <w:top w:val="single" w:color="auto" w:sz="4" w:space="0"/>
              <w:left w:val="single" w:color="auto" w:sz="4" w:space="0"/>
            </w:tcBorders>
            <w:vAlign w:val="center"/>
          </w:tcPr>
          <w:p>
            <w:pPr>
              <w:pStyle w:val="21"/>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专家组意见</w:t>
            </w:r>
          </w:p>
          <w:p>
            <w:pPr>
              <w:pStyle w:val="21"/>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（三位及以上）</w:t>
            </w:r>
          </w:p>
        </w:tc>
        <w:tc>
          <w:tcPr>
            <w:tcW w:w="6859" w:type="dxa"/>
            <w:gridSpan w:val="5"/>
            <w:tcBorders>
              <w:top w:val="single" w:color="auto" w:sz="4" w:space="0"/>
              <w:left w:val="single" w:color="auto" w:sz="4" w:space="0"/>
              <w:right w:val="single" w:color="auto" w:sz="4" w:space="0"/>
            </w:tcBorders>
            <w:vAlign w:val="bottom"/>
          </w:tcPr>
          <w:p>
            <w:pPr>
              <w:pStyle w:val="21"/>
              <w:spacing w:line="223" w:lineRule="auto"/>
              <w:ind w:firstLine="420"/>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签名： </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年</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 xml:space="preserve"> 月</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日</w:t>
            </w:r>
          </w:p>
        </w:tc>
      </w:tr>
      <w:tr>
        <w:trPr>
          <w:trHeight w:val="1149" w:hRule="exact"/>
          <w:jc w:val="center"/>
        </w:trPr>
        <w:tc>
          <w:tcPr>
            <w:tcW w:w="1627" w:type="dxa"/>
            <w:tcBorders>
              <w:top w:val="single" w:color="auto" w:sz="4" w:space="0"/>
              <w:left w:val="single" w:color="auto" w:sz="4" w:space="0"/>
              <w:bottom w:val="single" w:color="auto" w:sz="4" w:space="0"/>
            </w:tcBorders>
            <w:vAlign w:val="center"/>
          </w:tcPr>
          <w:p>
            <w:pPr>
              <w:pStyle w:val="21"/>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审核结论</w:t>
            </w:r>
          </w:p>
          <w:p>
            <w:pPr>
              <w:pStyle w:val="21"/>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（业务主管部 门）</w:t>
            </w:r>
          </w:p>
        </w:tc>
        <w:tc>
          <w:tcPr>
            <w:tcW w:w="6859" w:type="dxa"/>
            <w:gridSpan w:val="5"/>
            <w:tcBorders>
              <w:top w:val="single" w:color="auto" w:sz="4" w:space="0"/>
              <w:left w:val="single" w:color="auto" w:sz="4" w:space="0"/>
              <w:bottom w:val="single" w:color="auto" w:sz="4" w:space="0"/>
              <w:right w:val="single" w:color="auto" w:sz="4" w:space="0"/>
            </w:tcBorders>
            <w:vAlign w:val="bottom"/>
          </w:tcPr>
          <w:p>
            <w:pPr>
              <w:pStyle w:val="21"/>
              <w:spacing w:line="240" w:lineRule="auto"/>
              <w:ind w:left="5260"/>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（盖章）</w:t>
            </w:r>
          </w:p>
          <w:p>
            <w:pPr>
              <w:pStyle w:val="21"/>
              <w:spacing w:line="202" w:lineRule="auto"/>
              <w:ind w:right="360"/>
              <w:jc w:val="center"/>
              <w:rPr>
                <w:rFonts w:ascii="仿宋_GB2312" w:hAnsi="仿宋_GB2312" w:eastAsia="仿宋_GB2312" w:cs="仿宋_GB2312"/>
                <w:sz w:val="22"/>
                <w:szCs w:val="22"/>
              </w:rPr>
            </w:pP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 xml:space="preserve">年 </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月</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日</w:t>
            </w:r>
          </w:p>
        </w:tc>
      </w:tr>
    </w:tbl>
    <w:p>
      <w:pPr>
        <w:tabs>
          <w:tab w:val="left" w:pos="402"/>
        </w:tabs>
        <w:snapToGrid w:val="0"/>
        <w:spacing w:after="280"/>
        <w:rPr>
          <w:rFonts w:ascii="仿宋_GB2312" w:hAnsi="仿宋_GB2312" w:eastAsia="仿宋_GB2312" w:cs="仿宋_GB2312"/>
          <w:sz w:val="24"/>
          <w:szCs w:val="24"/>
        </w:rPr>
        <w:sectPr>
          <w:pgSz w:w="11906" w:h="16838"/>
          <w:pgMar w:top="2098" w:right="1474" w:bottom="1701" w:left="1587" w:header="851" w:footer="992" w:gutter="0"/>
          <w:pgNumType w:fmt="numberInDash"/>
          <w:cols w:space="720" w:num="1"/>
          <w:docGrid w:type="linesAndChars" w:linePitch="587" w:charSpace="-849"/>
        </w:sectPr>
      </w:pPr>
    </w:p>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spacing w:line="500" w:lineRule="exact"/>
        <w:ind w:firstLine="320"/>
        <w:rPr>
          <w:rFonts w:ascii="仿宋_GB2312" w:hAnsi="仿宋_GB2312" w:eastAsia="仿宋_GB2312" w:cs="仿宋_GB2312"/>
          <w:sz w:val="32"/>
          <w:szCs w:val="32"/>
        </w:rPr>
      </w:pPr>
    </w:p>
    <w:p>
      <w:pPr>
        <w:pStyle w:val="2"/>
        <w:pBdr>
          <w:top w:val="single" w:color="auto" w:sz="4" w:space="0"/>
          <w:bottom w:val="single" w:color="auto" w:sz="4" w:space="0"/>
        </w:pBdr>
        <w:wordWrap w:val="0"/>
        <w:spacing w:line="500" w:lineRule="exact"/>
        <w:ind w:firstLine="280"/>
        <w:jc w:val="both"/>
        <w:rPr>
          <w:rFonts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福州市教育局办公室                   2022年1月10日印发</w:t>
      </w:r>
    </w:p>
    <w:p>
      <w:pPr>
        <w:pStyle w:val="2"/>
        <w:ind w:firstLine="20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0000000000000000000"/>
    <w:charset w:val="86"/>
    <w:family w:val="auto"/>
    <w:pitch w:val="default"/>
    <w:sig w:usb0="00000000" w:usb1="00000000" w:usb2="00000016" w:usb3="00000000" w:csb0="00040001" w:csb1="00000000"/>
  </w:font>
  <w:font w:name="黑体">
    <w:panose1 w:val="02010609060101010101"/>
    <w:charset w:val="88"/>
    <w:family w:val="auto"/>
    <w:pitch w:val="default"/>
    <w:sig w:usb0="800002BF" w:usb1="38CF7CFA" w:usb2="00000016" w:usb3="00000000" w:csb0="00040001" w:csb1="00000000"/>
  </w:font>
  <w:font w:name="等线">
    <w:panose1 w:val="02010600030101010101"/>
    <w:charset w:val="88"/>
    <w:family w:val="auto"/>
    <w:pitch w:val="default"/>
    <w:sig w:usb0="A00002BF" w:usb1="38CF7CFA" w:usb2="00000016" w:usb3="00000000" w:csb0="0004000F" w:csb1="00000000"/>
  </w:font>
  <w:font w:name="方正小标宋简体">
    <w:panose1 w:val="02000000000000000000"/>
    <w:charset w:val="88"/>
    <w:family w:val="auto"/>
    <w:pitch w:val="default"/>
    <w:sig w:usb0="A00002BF" w:usb1="184F6CFA" w:usb2="00000012" w:usb3="00000000" w:csb0="00040001" w:csb1="00000000"/>
  </w:font>
  <w:font w:name="方正仿宋简体">
    <w:altName w:val="方正仿宋_GBK"/>
    <w:panose1 w:val="00000000000000000000"/>
    <w:charset w:val="86"/>
    <w:family w:val="script"/>
    <w:pitch w:val="default"/>
    <w:sig w:usb0="00000000" w:usb1="00000000" w:usb2="00000000" w:usb3="00000000" w:csb0="00040000" w:csb1="00000000"/>
  </w:font>
  <w:font w:name="仿宋_GB2312">
    <w:panose1 w:val="02010609030101010101"/>
    <w:charset w:val="88"/>
    <w:family w:val="auto"/>
    <w:pitch w:val="default"/>
    <w:sig w:usb0="00000001" w:usb1="080E0000" w:usb2="00000000" w:usb3="00000000" w:csb0="00040000" w:csb1="00000000"/>
  </w:font>
  <w:font w:name="楷体">
    <w:altName w:val="方正楷体_GBK"/>
    <w:panose1 w:val="00000000000000000000"/>
    <w:charset w:val="86"/>
    <w:family w:val="auto"/>
    <w:pitch w:val="default"/>
    <w:sig w:usb0="00000000" w:usb1="00000000" w:usb2="00000016" w:usb3="00000000" w:csb0="00040001" w:csb1="00000000"/>
  </w:font>
  <w:font w:name="MS Mincho">
    <w:altName w:val="宋体"/>
    <w:panose1 w:val="02020609040205080304"/>
    <w:charset w:val="80"/>
    <w:family w:val="auto"/>
    <w:pitch w:val="default"/>
    <w:sig w:usb0="00000000" w:usb1="00000000" w:usb2="08000012" w:usb3="00000000" w:csb0="0002009F" w:csb1="00000000"/>
  </w:font>
  <w:font w:name="楷体_GB2312">
    <w:panose1 w:val="02010609030101010101"/>
    <w:charset w:val="88"/>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850" cy="137795"/>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59264;mso-width-relative:page;mso-height-relative:page;" filled="f" stroked="f" coordsize="21600,21600" o:gfxdata="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H1uftNEAAAADAQAADwAAAAAAAAABACAAAAA4AAAAZHJzL2Rvd25yZXYueG1sUEsBAhQAFAAA&#10;AAgAh07iQD1g9sYZAgAAFwQAAA4AAAAAAAAAAQAgAAAANg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C76F1"/>
    <w:multiLevelType w:val="singleLevel"/>
    <w:tmpl w:val="AFEC76F1"/>
    <w:lvl w:ilvl="0" w:tentative="0">
      <w:start w:val="1"/>
      <w:numFmt w:val="chineseCounting"/>
      <w:suff w:val="nothing"/>
      <w:lvlText w:val="%1、"/>
      <w:lvlJc w:val="left"/>
      <w:rPr>
        <w:rFonts w:hint="eastAsia"/>
      </w:rPr>
    </w:lvl>
  </w:abstractNum>
  <w:abstractNum w:abstractNumId="1">
    <w:nsid w:val="E9FAFECF"/>
    <w:multiLevelType w:val="singleLevel"/>
    <w:tmpl w:val="E9FAFECF"/>
    <w:lvl w:ilvl="0" w:tentative="0">
      <w:start w:val="1"/>
      <w:numFmt w:val="chineseCounting"/>
      <w:suff w:val="nothing"/>
      <w:lvlText w:val="（%1）"/>
      <w:lvlJc w:val="left"/>
      <w:pPr>
        <w:ind w:left="-13"/>
      </w:pPr>
      <w:rPr>
        <w:rFonts w:hint="eastAsia"/>
        <w:b/>
      </w:rPr>
    </w:lvl>
  </w:abstractNum>
  <w:abstractNum w:abstractNumId="2">
    <w:nsid w:val="2E7E06F2"/>
    <w:multiLevelType w:val="multilevel"/>
    <w:tmpl w:val="2E7E06F2"/>
    <w:lvl w:ilvl="0" w:tentative="0">
      <w:start w:val="1"/>
      <w:numFmt w:val="chineseCounting"/>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hideGrammaticalErrors/>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BB"/>
    <w:rsid w:val="00043651"/>
    <w:rsid w:val="00091199"/>
    <w:rsid w:val="0028650C"/>
    <w:rsid w:val="00314695"/>
    <w:rsid w:val="0036452C"/>
    <w:rsid w:val="00376FB3"/>
    <w:rsid w:val="0038384B"/>
    <w:rsid w:val="00405D15"/>
    <w:rsid w:val="005D7E45"/>
    <w:rsid w:val="00706EE9"/>
    <w:rsid w:val="00710038"/>
    <w:rsid w:val="00722A0B"/>
    <w:rsid w:val="007C4AD4"/>
    <w:rsid w:val="007D2FB2"/>
    <w:rsid w:val="008874E9"/>
    <w:rsid w:val="009D21BB"/>
    <w:rsid w:val="00A27382"/>
    <w:rsid w:val="00C65D0A"/>
    <w:rsid w:val="00C97D70"/>
    <w:rsid w:val="00CA1A2B"/>
    <w:rsid w:val="00CD6736"/>
    <w:rsid w:val="00DB600B"/>
    <w:rsid w:val="00E33D55"/>
    <w:rsid w:val="00EC60B3"/>
    <w:rsid w:val="00F622D8"/>
    <w:rsid w:val="00F77B01"/>
    <w:rsid w:val="1FFED247"/>
    <w:rsid w:val="272766B7"/>
    <w:rsid w:val="59F05273"/>
    <w:rsid w:val="5DD5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4">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5"/>
    <w:qFormat/>
    <w:uiPriority w:val="0"/>
    <w:pPr>
      <w:keepNext/>
      <w:keepLines/>
      <w:numPr>
        <w:ilvl w:val="1"/>
        <w:numId w:val="1"/>
      </w:numPr>
      <w:outlineLvl w:val="1"/>
    </w:pPr>
    <w:rPr>
      <w:rFonts w:ascii="黑体" w:hAnsi="黑体" w:eastAsia="黑体" w:cs="宋体"/>
      <w:b/>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7"/>
    <w:qFormat/>
    <w:uiPriority w:val="0"/>
    <w:pPr>
      <w:spacing w:after="0"/>
      <w:ind w:firstLine="420" w:firstLineChars="100"/>
      <w:jc w:val="center"/>
    </w:pPr>
    <w:rPr>
      <w:rFonts w:ascii="Calibri" w:hAnsi="Calibri" w:eastAsia="宋体"/>
      <w:kern w:val="0"/>
      <w:sz w:val="20"/>
      <w:szCs w:val="20"/>
    </w:rPr>
  </w:style>
  <w:style w:type="paragraph" w:styleId="3">
    <w:name w:val="Body Text"/>
    <w:basedOn w:val="1"/>
    <w:link w:val="16"/>
    <w:semiHidden/>
    <w:unhideWhenUsed/>
    <w:qFormat/>
    <w:uiPriority w:val="99"/>
    <w:pPr>
      <w:spacing w:after="120"/>
    </w:pPr>
  </w:style>
  <w:style w:type="paragraph" w:styleId="6">
    <w:name w:val="Normal Indent"/>
    <w:basedOn w:val="1"/>
    <w:qFormat/>
    <w:uiPriority w:val="0"/>
    <w:pPr>
      <w:ind w:firstLine="420" w:firstLineChars="200"/>
    </w:pPr>
    <w:rPr>
      <w:rFonts w:ascii="等线" w:hAnsi="等线" w:eastAsia="等线"/>
      <w:color w:val="auto"/>
      <w:sz w:val="21"/>
      <w:szCs w:val="22"/>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2">
    <w:name w:val="Strong"/>
    <w:qFormat/>
    <w:uiPriority w:val="0"/>
    <w:rPr>
      <w:b/>
    </w:rPr>
  </w:style>
  <w:style w:type="paragraph" w:customStyle="1" w:styleId="13">
    <w:name w:val="样式2"/>
    <w:basedOn w:val="4"/>
    <w:qFormat/>
    <w:uiPriority w:val="0"/>
    <w:pPr>
      <w:keepNext w:val="0"/>
      <w:keepLines w:val="0"/>
      <w:spacing w:before="0" w:after="0" w:line="600" w:lineRule="exact"/>
      <w:jc w:val="center"/>
    </w:pPr>
    <w:rPr>
      <w:rFonts w:ascii="方正小标宋简体" w:hAnsi="方正小标宋简体" w:eastAsia="方正小标宋简体"/>
      <w:b w:val="0"/>
      <w:bCs w:val="0"/>
      <w:kern w:val="2"/>
      <w:szCs w:val="32"/>
    </w:rPr>
  </w:style>
  <w:style w:type="character" w:customStyle="1" w:styleId="14">
    <w:name w:val="标题 1字符"/>
    <w:basedOn w:val="11"/>
    <w:link w:val="4"/>
    <w:qFormat/>
    <w:uiPriority w:val="9"/>
    <w:rPr>
      <w:b/>
      <w:bCs/>
      <w:kern w:val="44"/>
      <w:sz w:val="44"/>
      <w:szCs w:val="44"/>
    </w:rPr>
  </w:style>
  <w:style w:type="character" w:customStyle="1" w:styleId="15">
    <w:name w:val="标题 2字符"/>
    <w:basedOn w:val="11"/>
    <w:link w:val="5"/>
    <w:qFormat/>
    <w:uiPriority w:val="0"/>
    <w:rPr>
      <w:rFonts w:ascii="黑体" w:hAnsi="黑体" w:eastAsia="黑体" w:cs="宋体"/>
      <w:b/>
      <w:color w:val="000000"/>
      <w:sz w:val="32"/>
      <w:szCs w:val="32"/>
    </w:rPr>
  </w:style>
  <w:style w:type="character" w:customStyle="1" w:styleId="16">
    <w:name w:val="正文文本字符"/>
    <w:basedOn w:val="11"/>
    <w:link w:val="3"/>
    <w:semiHidden/>
    <w:qFormat/>
    <w:uiPriority w:val="99"/>
    <w:rPr>
      <w:rFonts w:ascii="Times New Roman" w:hAnsi="Times New Roman" w:eastAsia="仿宋" w:cs="Times New Roman"/>
      <w:color w:val="000000"/>
      <w:sz w:val="32"/>
      <w:szCs w:val="32"/>
    </w:rPr>
  </w:style>
  <w:style w:type="character" w:customStyle="1" w:styleId="17">
    <w:name w:val="正文首行缩进字符"/>
    <w:basedOn w:val="16"/>
    <w:link w:val="2"/>
    <w:qFormat/>
    <w:uiPriority w:val="0"/>
    <w:rPr>
      <w:rFonts w:ascii="Calibri" w:hAnsi="Calibri" w:eastAsia="宋体" w:cs="Times New Roman"/>
      <w:color w:val="000000"/>
      <w:kern w:val="0"/>
      <w:sz w:val="20"/>
      <w:szCs w:val="20"/>
    </w:rPr>
  </w:style>
  <w:style w:type="character" w:customStyle="1" w:styleId="18">
    <w:name w:val="UserStyle_1"/>
    <w:semiHidden/>
    <w:qFormat/>
    <w:uiPriority w:val="0"/>
  </w:style>
  <w:style w:type="paragraph" w:customStyle="1" w:styleId="19">
    <w:name w:val="List Paragraph_c5b52ec2-08e3-4dbe-ad89-b9738ee68ca3"/>
    <w:basedOn w:val="1"/>
    <w:qFormat/>
    <w:uiPriority w:val="34"/>
    <w:pPr>
      <w:ind w:firstLine="420"/>
    </w:pPr>
    <w:rPr>
      <w:rFonts w:ascii="Calibri" w:hAnsi="Calibri" w:cs="宋体"/>
    </w:rPr>
  </w:style>
  <w:style w:type="paragraph" w:customStyle="1" w:styleId="20">
    <w:name w:val="正文文本 (2)"/>
    <w:basedOn w:val="1"/>
    <w:qFormat/>
    <w:uiPriority w:val="0"/>
    <w:pPr>
      <w:shd w:val="clear" w:color="auto" w:fill="FFFFFF"/>
      <w:spacing w:before="660" w:after="240" w:line="0" w:lineRule="atLeast"/>
      <w:jc w:val="right"/>
    </w:pPr>
    <w:rPr>
      <w:rFonts w:ascii="宋体" w:hAnsi="宋体" w:eastAsia="宋体" w:cs="宋体"/>
      <w:spacing w:val="30"/>
    </w:rPr>
  </w:style>
  <w:style w:type="paragraph" w:customStyle="1" w:styleId="21">
    <w:name w:val="其他"/>
    <w:basedOn w:val="1"/>
    <w:qFormat/>
    <w:uiPriority w:val="0"/>
    <w:pPr>
      <w:spacing w:line="362" w:lineRule="exact"/>
    </w:pPr>
    <w:rPr>
      <w:rFonts w:ascii="宋体" w:hAnsi="宋体" w:eastAsia="宋体" w:cs="宋体"/>
      <w:sz w:val="20"/>
      <w:szCs w:val="20"/>
      <w:lang w:val="zh-CN" w:bidi="zh-CN"/>
    </w:rPr>
  </w:style>
  <w:style w:type="paragraph" w:customStyle="1" w:styleId="22">
    <w:name w:val="正文文本 (3)"/>
    <w:basedOn w:val="1"/>
    <w:qFormat/>
    <w:uiPriority w:val="0"/>
    <w:pPr>
      <w:spacing w:after="60"/>
      <w:jc w:val="center"/>
    </w:pPr>
    <w:rPr>
      <w:rFonts w:ascii="宋体" w:hAnsi="宋体" w:eastAsia="宋体" w:cs="宋体"/>
      <w:lang w:val="zh-CN" w:bidi="zh-CN"/>
    </w:rPr>
  </w:style>
  <w:style w:type="paragraph" w:customStyle="1" w:styleId="23">
    <w:name w:val="HtmlNormal"/>
    <w:basedOn w:val="1"/>
    <w:qFormat/>
    <w:uiPriority w:val="0"/>
    <w:pPr>
      <w:spacing w:before="100" w:beforeAutospacing="1" w:after="100" w:afterAutospacing="1"/>
      <w:jc w:val="left"/>
      <w:textAlignment w:val="baseline"/>
    </w:pPr>
    <w:rPr>
      <w:rFonts w:ascii="Calibri" w:hAnsi="Calibri" w:eastAsia="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1299</Words>
  <Characters>7405</Characters>
  <Lines>61</Lines>
  <Paragraphs>17</Paragraphs>
  <TotalTime>0</TotalTime>
  <ScaleCrop>false</ScaleCrop>
  <LinksUpToDate>false</LinksUpToDate>
  <CharactersWithSpaces>8687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2022-01-12T16:44:00Z</dcterms:created>
  <dc:creator>Microsoft Office 用户</dc:creator>
  <cp:lastModifiedBy>王强</cp:lastModifiedBy>
  <dcterms:modified xsi:type="dcterms:W3CDTF">2022-08-11T15:19:42Z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995C8C6BB1004EF0BAA08D84FD399AB3</vt:lpwstr>
  </property>
</Properties>
</file>