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88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2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6487" w:type="dxa"/>
            <w:noWrap w:val="0"/>
            <w:vAlign w:val="center"/>
          </w:tcPr>
          <w:p>
            <w:pPr>
              <w:spacing w:line="1040" w:lineRule="exact"/>
              <w:jc w:val="distribute"/>
              <w:rPr>
                <w:rFonts w:hint="eastAsia" w:ascii="方正小标宋简体" w:eastAsia="方正小标宋简体"/>
                <w:color w:val="FF0000"/>
                <w:w w:val="50"/>
                <w:sz w:val="78"/>
                <w:szCs w:val="78"/>
              </w:rPr>
            </w:pPr>
            <w:bookmarkStart w:id="0" w:name="_GoBack"/>
            <w:bookmarkEnd w:id="0"/>
            <w:r>
              <w:rPr>
                <w:rFonts w:hint="eastAsia" w:ascii="方正小标宋简体" w:eastAsia="方正小标宋简体"/>
                <w:color w:val="FF0000"/>
                <w:w w:val="50"/>
                <w:sz w:val="78"/>
                <w:szCs w:val="78"/>
              </w:rPr>
              <w:t>福州市教育局</w:t>
            </w:r>
          </w:p>
        </w:tc>
        <w:tc>
          <w:tcPr>
            <w:tcW w:w="2346" w:type="dxa"/>
            <w:vMerge w:val="restart"/>
            <w:noWrap w:val="0"/>
            <w:vAlign w:val="center"/>
          </w:tcPr>
          <w:p>
            <w:pPr>
              <w:spacing w:line="1040" w:lineRule="exact"/>
              <w:rPr>
                <w:rFonts w:hint="eastAsia" w:ascii="方正小标宋简体" w:eastAsia="方正小标宋简体"/>
                <w:color w:val="FF0000"/>
                <w:w w:val="50"/>
                <w:sz w:val="78"/>
                <w:szCs w:val="7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w w:val="50"/>
                <w:sz w:val="78"/>
                <w:szCs w:val="78"/>
              </w:rPr>
              <w:t>文</w:t>
            </w:r>
            <w:r>
              <w:rPr>
                <w:rFonts w:hint="eastAsia" w:ascii="方正小标宋简体" w:hAnsi="方正小标宋简体" w:eastAsia="方正小标宋简体" w:cs="方正小标宋简体"/>
                <w:color w:val="FF0000"/>
                <w:w w:val="50"/>
                <w:sz w:val="78"/>
                <w:szCs w:val="78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color w:val="FF0000"/>
                <w:w w:val="50"/>
                <w:sz w:val="78"/>
                <w:szCs w:val="78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487" w:type="dxa"/>
            <w:noWrap w:val="0"/>
            <w:vAlign w:val="center"/>
          </w:tcPr>
          <w:p>
            <w:pPr>
              <w:spacing w:line="1040" w:lineRule="exact"/>
              <w:jc w:val="distribute"/>
              <w:rPr>
                <w:rFonts w:hint="eastAsia" w:ascii="方正小标宋简体" w:eastAsia="方正小标宋简体"/>
                <w:color w:val="FF0000"/>
                <w:w w:val="50"/>
                <w:sz w:val="78"/>
                <w:szCs w:val="78"/>
                <w:lang w:eastAsia="zh-CN"/>
              </w:rPr>
            </w:pPr>
            <w:r>
              <w:rPr>
                <w:rFonts w:hint="eastAsia" w:ascii="方正小标宋简体" w:eastAsia="方正小标宋简体"/>
                <w:color w:val="FF0000"/>
                <w:w w:val="50"/>
                <w:sz w:val="78"/>
                <w:szCs w:val="78"/>
                <w:lang w:eastAsia="zh-CN"/>
              </w:rPr>
              <w:t>中共福州市委机构编制委员会办公室</w:t>
            </w:r>
          </w:p>
        </w:tc>
        <w:tc>
          <w:tcPr>
            <w:tcW w:w="2346" w:type="dxa"/>
            <w:vMerge w:val="continue"/>
            <w:noWrap w:val="0"/>
            <w:vAlign w:val="center"/>
          </w:tcPr>
          <w:p>
            <w:pPr>
              <w:spacing w:line="600" w:lineRule="exact"/>
              <w:jc w:val="distribute"/>
              <w:rPr>
                <w:rFonts w:hint="eastAsia" w:ascii="华文中宋" w:eastAsia="华文中宋"/>
                <w:color w:val="FF0000"/>
                <w:w w:val="50"/>
                <w:sz w:val="78"/>
                <w:szCs w:val="7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6487" w:type="dxa"/>
            <w:noWrap w:val="0"/>
            <w:vAlign w:val="center"/>
          </w:tcPr>
          <w:p>
            <w:pPr>
              <w:spacing w:line="1040" w:lineRule="exact"/>
              <w:jc w:val="distribute"/>
              <w:rPr>
                <w:rFonts w:hint="eastAsia" w:ascii="方正小标宋简体" w:eastAsia="方正小标宋简体"/>
                <w:color w:val="FF0000"/>
                <w:w w:val="50"/>
                <w:sz w:val="78"/>
                <w:szCs w:val="78"/>
                <w:lang w:eastAsia="zh-CN"/>
              </w:rPr>
            </w:pPr>
            <w:r>
              <w:rPr>
                <w:rFonts w:hint="eastAsia" w:ascii="方正小标宋简体" w:eastAsia="方正小标宋简体"/>
                <w:color w:val="FF0000"/>
                <w:w w:val="50"/>
                <w:sz w:val="78"/>
                <w:szCs w:val="78"/>
                <w:lang w:eastAsia="zh-CN"/>
              </w:rPr>
              <w:t>福州市人力资源和社会保障局</w:t>
            </w:r>
          </w:p>
        </w:tc>
        <w:tc>
          <w:tcPr>
            <w:tcW w:w="2346" w:type="dxa"/>
            <w:vMerge w:val="continue"/>
            <w:noWrap w:val="0"/>
            <w:vAlign w:val="center"/>
          </w:tcPr>
          <w:p>
            <w:pPr>
              <w:spacing w:line="600" w:lineRule="exact"/>
              <w:jc w:val="distribute"/>
              <w:rPr>
                <w:rFonts w:hint="eastAsia" w:ascii="华文中宋" w:eastAsia="华文中宋"/>
                <w:color w:val="FF0000"/>
                <w:w w:val="50"/>
                <w:sz w:val="78"/>
                <w:szCs w:val="7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6487" w:type="dxa"/>
            <w:noWrap w:val="0"/>
            <w:vAlign w:val="center"/>
          </w:tcPr>
          <w:p>
            <w:pPr>
              <w:spacing w:line="1040" w:lineRule="exact"/>
              <w:jc w:val="distribute"/>
              <w:rPr>
                <w:rFonts w:hint="eastAsia" w:ascii="方正小标宋简体" w:eastAsia="方正小标宋简体"/>
                <w:color w:val="FF0000"/>
                <w:w w:val="50"/>
                <w:sz w:val="78"/>
                <w:szCs w:val="78"/>
                <w:lang w:eastAsia="zh-CN"/>
              </w:rPr>
            </w:pPr>
            <w:r>
              <w:rPr>
                <w:rFonts w:hint="eastAsia" w:ascii="方正小标宋简体" w:eastAsia="方正小标宋简体"/>
                <w:color w:val="FF0000"/>
                <w:w w:val="50"/>
                <w:sz w:val="78"/>
                <w:szCs w:val="78"/>
                <w:lang w:eastAsia="zh-CN"/>
              </w:rPr>
              <w:t>福州市财政局</w:t>
            </w:r>
          </w:p>
        </w:tc>
        <w:tc>
          <w:tcPr>
            <w:tcW w:w="2346" w:type="dxa"/>
            <w:vMerge w:val="continue"/>
            <w:noWrap w:val="0"/>
            <w:vAlign w:val="center"/>
          </w:tcPr>
          <w:p>
            <w:pPr>
              <w:spacing w:line="600" w:lineRule="exact"/>
              <w:jc w:val="distribute"/>
              <w:rPr>
                <w:rFonts w:hint="eastAsia" w:ascii="华文中宋" w:eastAsia="华文中宋"/>
                <w:color w:val="FF0000"/>
                <w:w w:val="50"/>
                <w:sz w:val="78"/>
                <w:szCs w:val="78"/>
              </w:rPr>
            </w:pPr>
          </w:p>
        </w:tc>
      </w:tr>
    </w:tbl>
    <w:p>
      <w:pPr>
        <w:spacing w:line="600" w:lineRule="exact"/>
        <w:jc w:val="distribute"/>
        <w:rPr>
          <w:rFonts w:hint="eastAsia" w:ascii="华文中宋" w:eastAsia="华文中宋"/>
          <w:color w:val="FF0000"/>
          <w:w w:val="50"/>
          <w:sz w:val="78"/>
          <w:szCs w:val="7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</w:rPr>
        <w:t>榕教</w:t>
      </w:r>
      <w:r>
        <w:rPr>
          <w:rFonts w:hint="eastAsia" w:ascii="仿宋_GB2312" w:eastAsia="仿宋_GB2312"/>
          <w:sz w:val="32"/>
          <w:lang w:eastAsia="zh-CN"/>
        </w:rPr>
        <w:t>规</w:t>
      </w:r>
      <w:r>
        <w:rPr>
          <w:rFonts w:hint="eastAsia" w:ascii="仿宋_GB2312" w:eastAsia="仿宋_GB2312"/>
          <w:sz w:val="32"/>
        </w:rPr>
        <w:t>〔20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简体" w:eastAsia="方正仿宋简体"/>
          <w:sz w:val="30"/>
        </w:rPr>
      </w:pPr>
      <w:r>
        <w:rPr>
          <w:rFonts w:ascii="方正仿宋简体" w:eastAsia="方正仿宋简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20955</wp:posOffset>
                </wp:positionV>
                <wp:extent cx="5419725" cy="0"/>
                <wp:effectExtent l="0" t="19050" r="5715" b="2667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35pt;margin-top:1.65pt;height:0pt;width:426.75pt;z-index:251659264;mso-width-relative:page;mso-height-relative:page;" filled="f" stroked="t" coordsize="21600,21600" o:gfxdata="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ab3aTYAAAABgEAAA8AAAAAAAAAAQAgAAAAIgAAAGRycy9kb3ducmV2Lnht&#10;bFBLAQIUABQAAAAIAIdO4kD4JfJJ+QEAAOUDAAAOAAAAAAAAAAEAIAAAACcBAABkcnMvZTJvRG9j&#10;LnhtbFBLBQYAAAAABgAGAFkBAACS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eastAsia="方正仿宋简体"/>
          <w:sz w:val="20"/>
          <w:lang w:val="en-US" w:eastAsia="zh-CN"/>
        </w:rPr>
        <w:t xml:space="preserve">                                                              </w:t>
      </w:r>
    </w:p>
    <w:p>
      <w:pPr>
        <w:spacing w:line="65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w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w w:val="80"/>
          <w:sz w:val="44"/>
          <w:szCs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pacing w:val="-11"/>
          <w:w w:val="80"/>
          <w:sz w:val="44"/>
          <w:szCs w:val="44"/>
        </w:rPr>
        <w:t>市教育局</w:t>
      </w:r>
      <w:r>
        <w:rPr>
          <w:rFonts w:hint="eastAsia" w:ascii="方正小标宋简体" w:hAnsi="方正小标宋简体" w:eastAsia="方正小标宋简体" w:cs="方正小标宋简体"/>
          <w:spacing w:val="-11"/>
          <w:w w:val="8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11"/>
          <w:w w:val="80"/>
          <w:sz w:val="44"/>
          <w:szCs w:val="44"/>
        </w:rPr>
        <w:t>中共</w:t>
      </w:r>
      <w:r>
        <w:rPr>
          <w:rFonts w:hint="eastAsia" w:ascii="方正小标宋简体" w:hAnsi="方正小标宋简体" w:eastAsia="方正小标宋简体" w:cs="方正小标宋简体"/>
          <w:spacing w:val="-11"/>
          <w:w w:val="80"/>
          <w:sz w:val="44"/>
          <w:szCs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pacing w:val="-11"/>
          <w:w w:val="80"/>
          <w:sz w:val="44"/>
          <w:szCs w:val="44"/>
        </w:rPr>
        <w:t>市委机构编制委员会办公室</w:t>
      </w:r>
      <w:r>
        <w:rPr>
          <w:rFonts w:hint="eastAsia" w:ascii="方正小标宋简体" w:hAnsi="方正小标宋简体" w:eastAsia="方正小标宋简体" w:cs="方正小标宋简体"/>
          <w:spacing w:val="-11"/>
          <w:w w:val="8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11"/>
          <w:w w:val="80"/>
          <w:sz w:val="44"/>
          <w:szCs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pacing w:val="-11"/>
          <w:w w:val="80"/>
          <w:sz w:val="44"/>
          <w:szCs w:val="44"/>
        </w:rPr>
        <w:t>市人力资源和社会保障局</w:t>
      </w:r>
      <w:r>
        <w:rPr>
          <w:rFonts w:hint="eastAsia" w:ascii="方正小标宋简体" w:hAnsi="方正小标宋简体" w:eastAsia="方正小标宋简体" w:cs="方正小标宋简体"/>
          <w:spacing w:val="-11"/>
          <w:w w:val="8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-11"/>
          <w:w w:val="80"/>
          <w:sz w:val="44"/>
          <w:szCs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pacing w:val="-11"/>
          <w:w w:val="80"/>
          <w:sz w:val="44"/>
          <w:szCs w:val="44"/>
        </w:rPr>
        <w:t>市财政局关于印发</w:t>
      </w:r>
    </w:p>
    <w:p>
      <w:pPr>
        <w:spacing w:line="65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w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w w:val="80"/>
          <w:sz w:val="44"/>
          <w:szCs w:val="44"/>
          <w:lang w:eastAsia="zh-CN"/>
        </w:rPr>
        <w:t>《福州</w:t>
      </w:r>
      <w:r>
        <w:rPr>
          <w:rFonts w:hint="eastAsia" w:ascii="方正小标宋简体" w:hAnsi="方正小标宋简体" w:eastAsia="方正小标宋简体" w:cs="方正小标宋简体"/>
          <w:spacing w:val="-11"/>
          <w:w w:val="80"/>
          <w:sz w:val="44"/>
          <w:szCs w:val="44"/>
        </w:rPr>
        <w:t>市师范生公费教育试点方案</w:t>
      </w:r>
      <w:r>
        <w:rPr>
          <w:rFonts w:hint="eastAsia" w:ascii="方正小标宋简体" w:hAnsi="方正小标宋简体" w:eastAsia="方正小标宋简体" w:cs="方正小标宋简体"/>
          <w:spacing w:val="-11"/>
          <w:w w:val="80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pacing w:val="-11"/>
          <w:w w:val="80"/>
          <w:sz w:val="44"/>
          <w:szCs w:val="44"/>
        </w:rPr>
        <w:t>的通知</w:t>
      </w:r>
    </w:p>
    <w:p>
      <w:pPr>
        <w:spacing w:line="65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各县(市、区)教育局</w:t>
      </w:r>
      <w:r>
        <w:rPr>
          <w:rFonts w:hint="eastAsia" w:ascii="仿宋_GB2312" w:hAnsi="仿宋_GB2312" w:cs="仿宋_GB231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Cs w:val="32"/>
        </w:rPr>
        <w:t xml:space="preserve">编办、人社局、财政局, </w:t>
      </w:r>
      <w:r>
        <w:rPr>
          <w:rFonts w:hint="eastAsia" w:ascii="仿宋_GB2312" w:hAnsi="仿宋_GB2312" w:cs="仿宋_GB2312"/>
          <w:szCs w:val="32"/>
          <w:lang w:eastAsia="zh-CN"/>
        </w:rPr>
        <w:t>福州闽江学院</w:t>
      </w:r>
      <w:r>
        <w:rPr>
          <w:rFonts w:hint="eastAsia" w:ascii="仿宋_GB2312" w:hAnsi="仿宋_GB2312" w:cs="仿宋_GB231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现将《</w:t>
      </w:r>
      <w:r>
        <w:rPr>
          <w:rFonts w:hint="eastAsia" w:ascii="仿宋_GB2312" w:hAnsi="仿宋_GB2312" w:cs="仿宋_GB2312"/>
          <w:szCs w:val="32"/>
          <w:lang w:eastAsia="zh-CN"/>
        </w:rPr>
        <w:t>福州</w:t>
      </w:r>
      <w:r>
        <w:rPr>
          <w:rFonts w:hint="eastAsia" w:ascii="仿宋_GB2312" w:hAnsi="仿宋_GB2312" w:cs="仿宋_GB2312"/>
          <w:szCs w:val="32"/>
        </w:rPr>
        <w:t>市师范生公费教育试点方案》印发给你们,请遵照执行。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cs="仿宋_GB2312"/>
          <w:w w:val="100"/>
          <w:sz w:val="32"/>
          <w:szCs w:val="32"/>
        </w:rPr>
      </w:pPr>
      <w:r>
        <w:rPr>
          <w:rFonts w:hint="eastAsia" w:ascii="仿宋_GB2312" w:hAnsi="仿宋_GB2312" w:cs="仿宋_GB2312"/>
          <w:w w:val="100"/>
          <w:sz w:val="32"/>
          <w:szCs w:val="32"/>
          <w:lang w:eastAsia="zh-CN"/>
        </w:rPr>
        <w:t>福州</w:t>
      </w:r>
      <w:r>
        <w:rPr>
          <w:rFonts w:hint="eastAsia" w:ascii="仿宋_GB2312" w:hAnsi="仿宋_GB2312" w:cs="仿宋_GB2312"/>
          <w:w w:val="100"/>
          <w:sz w:val="32"/>
          <w:szCs w:val="32"/>
        </w:rPr>
        <w:t>市教育局</w:t>
      </w:r>
      <w:r>
        <w:rPr>
          <w:rFonts w:hint="eastAsia" w:ascii="仿宋_GB2312" w:hAnsi="仿宋_GB2312" w:cs="仿宋_GB2312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w w:val="100"/>
          <w:sz w:val="32"/>
          <w:szCs w:val="32"/>
        </w:rPr>
        <w:t>中共</w:t>
      </w:r>
      <w:r>
        <w:rPr>
          <w:rFonts w:hint="eastAsia" w:ascii="仿宋_GB2312" w:hAnsi="仿宋_GB2312" w:cs="仿宋_GB2312"/>
          <w:w w:val="100"/>
          <w:sz w:val="32"/>
          <w:szCs w:val="32"/>
          <w:lang w:eastAsia="zh-CN"/>
        </w:rPr>
        <w:t>福州</w:t>
      </w:r>
      <w:r>
        <w:rPr>
          <w:rFonts w:hint="eastAsia" w:ascii="仿宋_GB2312" w:hAnsi="仿宋_GB2312" w:cs="仿宋_GB2312"/>
          <w:w w:val="100"/>
          <w:sz w:val="32"/>
          <w:szCs w:val="32"/>
        </w:rPr>
        <w:t>市委机构编制委员会办公室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cs="仿宋_GB2312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textAlignment w:val="auto"/>
        <w:rPr>
          <w:rFonts w:hint="eastAsia" w:ascii="仿宋_GB2312" w:hAnsi="仿宋_GB2312" w:cs="仿宋_GB2312"/>
          <w:w w:val="100"/>
          <w:sz w:val="32"/>
          <w:szCs w:val="32"/>
        </w:rPr>
      </w:pPr>
      <w:r>
        <w:rPr>
          <w:rFonts w:hint="eastAsia" w:ascii="仿宋_GB2312" w:hAnsi="仿宋_GB2312" w:cs="仿宋_GB2312"/>
          <w:w w:val="100"/>
          <w:sz w:val="32"/>
          <w:szCs w:val="32"/>
          <w:lang w:eastAsia="zh-CN"/>
        </w:rPr>
        <w:t>福州</w:t>
      </w:r>
      <w:r>
        <w:rPr>
          <w:rFonts w:hint="eastAsia" w:ascii="仿宋_GB2312" w:hAnsi="仿宋_GB2312" w:cs="仿宋_GB2312"/>
          <w:w w:val="100"/>
          <w:sz w:val="32"/>
          <w:szCs w:val="32"/>
        </w:rPr>
        <w:t>市人力资源和社会保障局</w:t>
      </w:r>
      <w:r>
        <w:rPr>
          <w:rFonts w:hint="eastAsia" w:ascii="仿宋_GB2312" w:hAnsi="仿宋_GB2312" w:cs="仿宋_GB2312"/>
          <w:w w:val="10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cs="仿宋_GB2312"/>
          <w:w w:val="100"/>
          <w:sz w:val="32"/>
          <w:szCs w:val="32"/>
          <w:lang w:eastAsia="zh-CN"/>
        </w:rPr>
        <w:t>福州</w:t>
      </w:r>
      <w:r>
        <w:rPr>
          <w:rFonts w:hint="eastAsia" w:ascii="仿宋_GB2312" w:hAnsi="仿宋_GB2312" w:cs="仿宋_GB2312"/>
          <w:w w:val="100"/>
          <w:sz w:val="32"/>
          <w:szCs w:val="32"/>
        </w:rPr>
        <w:t>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</w:t>
      </w:r>
      <w:r>
        <w:rPr>
          <w:rFonts w:hint="eastAsia" w:ascii="仿宋_GB2312" w:hAnsi="仿宋_GB2312" w:cs="仿宋_GB2312"/>
          <w:spacing w:val="-1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pacing w:val="-11"/>
          <w:sz w:val="32"/>
          <w:szCs w:val="32"/>
        </w:rPr>
        <w:t>20</w:t>
      </w:r>
      <w:r>
        <w:rPr>
          <w:rFonts w:hint="eastAsia" w:ascii="仿宋_GB2312" w:hAnsi="仿宋_GB2312" w:cs="仿宋_GB2312"/>
          <w:spacing w:val="-11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cs="仿宋_GB2312"/>
          <w:spacing w:val="-11"/>
          <w:sz w:val="32"/>
          <w:szCs w:val="32"/>
        </w:rPr>
        <w:t>年</w:t>
      </w:r>
      <w:r>
        <w:rPr>
          <w:rFonts w:hint="eastAsia" w:ascii="仿宋_GB2312" w:hAnsi="仿宋_GB2312" w:cs="仿宋_GB2312"/>
          <w:spacing w:val="-11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cs="仿宋_GB2312"/>
          <w:spacing w:val="-11"/>
          <w:sz w:val="32"/>
          <w:szCs w:val="32"/>
        </w:rPr>
        <w:t>月</w:t>
      </w:r>
      <w:r>
        <w:rPr>
          <w:rFonts w:hint="eastAsia" w:ascii="仿宋_GB2312" w:hAnsi="仿宋_GB2312" w:cs="仿宋_GB2312"/>
          <w:spacing w:val="-1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pacing w:val="-11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(此件主动公开)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市师范生公费教育试点方案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为进一步加强我市农村学校教师队伍建设，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提升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农村</w:t>
      </w:r>
      <w:r>
        <w:rPr>
          <w:rFonts w:hint="default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中小学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教育质量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，根据《中共中央国务院关于全面深化新时代教师队伍建设改革的意见》（中发〔2018〕4号）和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福建省教育厅等五部门关于印发福建省教师教育振兴行动计划（2018-2022年）的通知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闽教师〔2018〕98号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，决定从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年起在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闽江学院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实施师范生公费教育试点，定向培养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中小学教师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。为确保师范生公费教育的顺利实施，特制定本方案。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一、指导思想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 xml:space="preserve">    以习近平新时代中国特色社会主义思想为指导，深入贯彻习近平总书记关于教育的重要论述，推进</w:t>
      </w:r>
      <w:r>
        <w:rPr>
          <w:rFonts w:hint="default" w:ascii="仿宋_GB2312" w:hAnsi="仿宋_GB2312" w:cs="仿宋_GB2312"/>
          <w:b w:val="0"/>
          <w:bCs w:val="0"/>
          <w:color w:val="auto"/>
          <w:sz w:val="32"/>
          <w:szCs w:val="32"/>
          <w:highlight w:val="none"/>
        </w:rPr>
        <w:t>教育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强市</w:t>
      </w:r>
      <w:r>
        <w:rPr>
          <w:rFonts w:hint="default" w:ascii="仿宋_GB2312" w:hAnsi="仿宋_GB2312" w:cs="仿宋_GB2312"/>
          <w:b w:val="0"/>
          <w:bCs w:val="0"/>
          <w:color w:val="auto"/>
          <w:sz w:val="32"/>
          <w:szCs w:val="32"/>
          <w:highlight w:val="none"/>
        </w:rPr>
        <w:t>建设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，立足</w:t>
      </w:r>
      <w:r>
        <w:rPr>
          <w:rFonts w:hint="default" w:ascii="仿宋_GB2312" w:hAnsi="仿宋_GB2312" w:cs="仿宋_GB2312"/>
          <w:b w:val="0"/>
          <w:bCs w:val="0"/>
          <w:color w:val="auto"/>
          <w:sz w:val="32"/>
          <w:szCs w:val="32"/>
          <w:highlight w:val="none"/>
        </w:rPr>
        <w:t>农村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实际，致力培养适应农村教育需要的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中小学教师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/>
          <w:color w:val="auto"/>
          <w:szCs w:val="32"/>
          <w:highlight w:val="none"/>
        </w:rPr>
      </w:pPr>
      <w:r>
        <w:rPr>
          <w:rFonts w:hint="default" w:ascii="黑体" w:eastAsia="黑体"/>
          <w:color w:val="auto"/>
          <w:szCs w:val="32"/>
          <w:highlight w:val="none"/>
        </w:rPr>
        <w:t>二</w:t>
      </w:r>
      <w:r>
        <w:rPr>
          <w:rFonts w:hint="eastAsia" w:ascii="黑体" w:eastAsia="黑体"/>
          <w:color w:val="auto"/>
          <w:szCs w:val="32"/>
          <w:highlight w:val="none"/>
        </w:rPr>
        <w:t>、招生对象</w:t>
      </w:r>
      <w:r>
        <w:rPr>
          <w:rFonts w:hint="eastAsia" w:eastAsia="黑体"/>
          <w:color w:val="auto"/>
          <w:szCs w:val="32"/>
          <w:highlight w:val="none"/>
        </w:rPr>
        <w:t> </w:t>
      </w:r>
      <w:r>
        <w:rPr>
          <w:rFonts w:hint="eastAsia" w:ascii="仿宋_GB2312"/>
          <w:color w:val="auto"/>
          <w:szCs w:val="32"/>
          <w:highlight w:val="none"/>
        </w:rPr>
        <w:br w:type="textWrapping"/>
      </w:r>
      <w:r>
        <w:rPr>
          <w:rFonts w:hint="eastAsia" w:ascii="仿宋_GB2312"/>
          <w:color w:val="auto"/>
          <w:szCs w:val="32"/>
          <w:highlight w:val="none"/>
        </w:rPr>
        <w:t xml:space="preserve">    公费师范生招生对象为具有需求计划的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县（市）区</w:t>
      </w:r>
      <w:r>
        <w:rPr>
          <w:rFonts w:hint="eastAsia" w:ascii="仿宋_GB2312"/>
          <w:color w:val="auto"/>
          <w:szCs w:val="32"/>
          <w:highlight w:val="none"/>
        </w:rPr>
        <w:t>户籍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或高中三年学籍</w:t>
      </w:r>
      <w:r>
        <w:rPr>
          <w:rFonts w:hint="eastAsia" w:ascii="仿宋_GB2312"/>
          <w:color w:val="auto"/>
          <w:szCs w:val="32"/>
          <w:highlight w:val="none"/>
        </w:rPr>
        <w:t>，且参加当年高考的高中毕业生。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/>
          <w:color w:val="auto"/>
          <w:szCs w:val="32"/>
          <w:highlight w:val="none"/>
        </w:rPr>
      </w:pPr>
      <w:r>
        <w:rPr>
          <w:rFonts w:hint="default" w:ascii="黑体" w:hAnsi="黑体" w:eastAsia="黑体" w:cs="黑体"/>
          <w:color w:val="auto"/>
          <w:szCs w:val="32"/>
          <w:highlight w:val="none"/>
        </w:rPr>
        <w:t>三</w:t>
      </w:r>
      <w:r>
        <w:rPr>
          <w:rFonts w:hint="eastAsia" w:ascii="黑体" w:hAnsi="黑体" w:eastAsia="黑体" w:cs="黑体"/>
          <w:color w:val="auto"/>
          <w:szCs w:val="32"/>
          <w:highlight w:val="none"/>
        </w:rPr>
        <w:t>、招生计划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Cs w:val="32"/>
          <w:highlight w:val="none"/>
        </w:rPr>
        <w:t>委托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闽江学院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实施师范生公费教育。公费师范生招生计划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每年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由</w:t>
      </w:r>
      <w:r>
        <w:rPr>
          <w:rFonts w:hint="default" w:ascii="仿宋_GB2312" w:hAnsi="仿宋_GB2312" w:cs="仿宋_GB2312"/>
          <w:color w:val="auto"/>
          <w:szCs w:val="32"/>
          <w:highlight w:val="none"/>
        </w:rPr>
        <w:t>相关县（市）区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教育、财政、人社、编制等部门，根据实际需求和编制空缺情况，联合提出计划，经当地政府同意后，市教育局统一汇总报省教育厅批准，由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闽江学院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纳入年度招生总规模，每年按照需求计划进行招生。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/>
          <w:color w:val="auto"/>
          <w:szCs w:val="32"/>
          <w:highlight w:val="none"/>
          <w:lang w:eastAsia="zh-CN"/>
        </w:rPr>
      </w:pPr>
      <w:r>
        <w:rPr>
          <w:rFonts w:hint="eastAsia" w:ascii="黑体" w:eastAsia="黑体"/>
          <w:color w:val="auto"/>
          <w:szCs w:val="32"/>
          <w:highlight w:val="none"/>
          <w:lang w:eastAsia="zh-CN"/>
        </w:rPr>
        <w:t>四、</w:t>
      </w:r>
      <w:r>
        <w:rPr>
          <w:rFonts w:hint="eastAsia" w:ascii="黑体" w:eastAsia="黑体"/>
          <w:color w:val="auto"/>
          <w:szCs w:val="32"/>
          <w:highlight w:val="none"/>
        </w:rPr>
        <w:t>招生录取</w:t>
      </w:r>
      <w:r>
        <w:rPr>
          <w:rFonts w:hint="eastAsia" w:ascii="仿宋_GB2312"/>
          <w:color w:val="auto"/>
          <w:szCs w:val="32"/>
          <w:highlight w:val="none"/>
        </w:rPr>
        <w:br w:type="textWrapping"/>
      </w:r>
      <w:r>
        <w:rPr>
          <w:rFonts w:hint="eastAsia" w:ascii="仿宋_GB2312"/>
          <w:color w:val="auto"/>
          <w:szCs w:val="32"/>
          <w:highlight w:val="none"/>
        </w:rPr>
        <w:t xml:space="preserve">    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闽江学院</w:t>
      </w:r>
      <w:r>
        <w:rPr>
          <w:rFonts w:hint="eastAsia" w:ascii="仿宋_GB2312"/>
          <w:color w:val="auto"/>
          <w:szCs w:val="32"/>
          <w:highlight w:val="none"/>
        </w:rPr>
        <w:t>根据省高等学校招生委员会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和</w:t>
      </w:r>
      <w:r>
        <w:rPr>
          <w:rFonts w:hint="eastAsia" w:ascii="仿宋_GB2312"/>
          <w:color w:val="auto"/>
          <w:szCs w:val="32"/>
          <w:highlight w:val="none"/>
        </w:rPr>
        <w:t>省教育厅制定的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当年</w:t>
      </w:r>
      <w:r>
        <w:rPr>
          <w:rFonts w:hint="eastAsia" w:ascii="仿宋_GB2312"/>
          <w:color w:val="auto"/>
          <w:szCs w:val="32"/>
          <w:highlight w:val="none"/>
        </w:rPr>
        <w:t>普通高考招生录取工作办法，按报考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公费师范生的上线考生的分数，根据学校的录取原则进行招生录取。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/>
          <w:b w:val="0"/>
          <w:bCs w:val="0"/>
          <w:color w:val="auto"/>
          <w:szCs w:val="32"/>
          <w:highlight w:val="none"/>
        </w:rPr>
      </w:pPr>
      <w:r>
        <w:rPr>
          <w:rFonts w:hint="eastAsia" w:ascii="黑体" w:eastAsia="黑体"/>
          <w:color w:val="auto"/>
          <w:szCs w:val="32"/>
          <w:highlight w:val="none"/>
        </w:rPr>
        <w:t>五、培养管理</w:t>
      </w:r>
      <w:r>
        <w:rPr>
          <w:rFonts w:hint="eastAsia" w:ascii="仿宋_GB2312"/>
          <w:color w:val="auto"/>
          <w:szCs w:val="32"/>
          <w:highlight w:val="none"/>
        </w:rPr>
        <w:br w:type="textWrapping"/>
      </w:r>
      <w:r>
        <w:rPr>
          <w:rFonts w:hint="eastAsia" w:ascii="仿宋_GB2312"/>
          <w:b/>
          <w:bCs/>
          <w:color w:val="auto"/>
          <w:szCs w:val="32"/>
          <w:highlight w:val="none"/>
        </w:rPr>
        <w:t xml:space="preserve">    </w:t>
      </w:r>
      <w:r>
        <w:rPr>
          <w:rFonts w:hint="eastAsia" w:ascii="楷体_GB2312" w:eastAsia="楷体_GB2312"/>
          <w:b w:val="0"/>
          <w:bCs w:val="0"/>
          <w:color w:val="auto"/>
          <w:szCs w:val="32"/>
          <w:highlight w:val="none"/>
        </w:rPr>
        <w:t>（一）签订协议。</w:t>
      </w:r>
      <w:r>
        <w:rPr>
          <w:rFonts w:hint="eastAsia" w:ascii="仿宋_GB2312"/>
          <w:b w:val="0"/>
          <w:bCs w:val="0"/>
          <w:color w:val="auto"/>
          <w:szCs w:val="32"/>
          <w:highlight w:val="none"/>
        </w:rPr>
        <w:t>公费师范生新</w:t>
      </w:r>
      <w:r>
        <w:rPr>
          <w:rFonts w:hint="eastAsia" w:ascii="仿宋_GB2312"/>
          <w:color w:val="auto"/>
          <w:szCs w:val="32"/>
          <w:highlight w:val="none"/>
        </w:rPr>
        <w:t>生入学时，由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闽江学院</w:t>
      </w:r>
      <w:r>
        <w:rPr>
          <w:rFonts w:hint="eastAsia" w:ascii="仿宋_GB2312"/>
          <w:color w:val="auto"/>
          <w:szCs w:val="32"/>
          <w:highlight w:val="none"/>
        </w:rPr>
        <w:t>、定向就业地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县（市）区</w:t>
      </w:r>
      <w:r>
        <w:rPr>
          <w:rFonts w:hint="eastAsia" w:ascii="仿宋_GB2312"/>
          <w:color w:val="auto"/>
          <w:szCs w:val="32"/>
          <w:highlight w:val="none"/>
        </w:rPr>
        <w:t>教育局、公费师范生、公费师范生履约监护人签订《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福州</w:t>
      </w:r>
      <w:r>
        <w:rPr>
          <w:rFonts w:hint="eastAsia" w:ascii="仿宋_GB2312"/>
          <w:color w:val="auto"/>
          <w:szCs w:val="32"/>
          <w:highlight w:val="none"/>
        </w:rPr>
        <w:t>市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师范生公费教育</w:t>
      </w:r>
      <w:r>
        <w:rPr>
          <w:rFonts w:hint="eastAsia" w:ascii="仿宋_GB2312"/>
          <w:color w:val="auto"/>
          <w:szCs w:val="32"/>
          <w:highlight w:val="none"/>
        </w:rPr>
        <w:t>协议书》。协议书一式6份，各执一份，并送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福州</w:t>
      </w:r>
      <w:r>
        <w:rPr>
          <w:rFonts w:hint="eastAsia" w:ascii="仿宋_GB2312"/>
          <w:color w:val="auto"/>
          <w:szCs w:val="32"/>
          <w:highlight w:val="none"/>
        </w:rPr>
        <w:t>市教育局和当地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县（市）区</w:t>
      </w:r>
      <w:r>
        <w:rPr>
          <w:rFonts w:hint="eastAsia" w:ascii="仿宋_GB2312"/>
          <w:color w:val="auto"/>
          <w:szCs w:val="32"/>
          <w:highlight w:val="none"/>
        </w:rPr>
        <w:t>人社局备案</w:t>
      </w:r>
      <w:r>
        <w:rPr>
          <w:rFonts w:hint="eastAsia" w:ascii="仿宋_GB2312"/>
          <w:b w:val="0"/>
          <w:bCs w:val="0"/>
          <w:color w:val="auto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/>
          <w:b w:val="0"/>
          <w:bCs w:val="0"/>
          <w:color w:val="auto"/>
          <w:szCs w:val="32"/>
          <w:highlight w:val="none"/>
        </w:rPr>
      </w:pPr>
      <w:r>
        <w:rPr>
          <w:rFonts w:hint="eastAsia" w:ascii="楷体_GB2312" w:eastAsia="楷体_GB2312"/>
          <w:b w:val="0"/>
          <w:bCs w:val="0"/>
          <w:color w:val="auto"/>
          <w:szCs w:val="32"/>
          <w:highlight w:val="none"/>
        </w:rPr>
        <w:t>（二）费用承担。</w:t>
      </w:r>
      <w:r>
        <w:rPr>
          <w:rFonts w:hint="eastAsia" w:ascii="仿宋_GB2312"/>
          <w:b w:val="0"/>
          <w:bCs w:val="0"/>
          <w:color w:val="auto"/>
          <w:szCs w:val="32"/>
          <w:highlight w:val="none"/>
        </w:rPr>
        <w:t>公费师范生在校学习期间免除学费、免缴住宿费，所需经费由公费师范生所在</w:t>
      </w:r>
      <w:r>
        <w:rPr>
          <w:rFonts w:hint="eastAsia" w:ascii="仿宋_GB2312"/>
          <w:b w:val="0"/>
          <w:bCs w:val="0"/>
          <w:color w:val="auto"/>
          <w:szCs w:val="32"/>
          <w:highlight w:val="none"/>
          <w:lang w:eastAsia="zh-CN"/>
        </w:rPr>
        <w:t>县（市）区</w:t>
      </w:r>
      <w:r>
        <w:rPr>
          <w:rFonts w:hint="eastAsia" w:ascii="仿宋_GB2312"/>
          <w:b w:val="0"/>
          <w:bCs w:val="0"/>
          <w:color w:val="auto"/>
          <w:szCs w:val="32"/>
          <w:highlight w:val="none"/>
        </w:rPr>
        <w:t>财政承担，同时按规定享受师范生助学金,家庭经济困难学生生活费补助纳入高校资助政策体系安排。公费师范生因故延长修学年限的,延长期间上述费用自理。中途退学、无法毕业或无法取得教师资格的,应按规定退还已享受的公费教育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/>
          <w:b w:val="0"/>
          <w:bCs w:val="0"/>
          <w:color w:val="auto"/>
          <w:szCs w:val="32"/>
          <w:highlight w:val="none"/>
        </w:rPr>
      </w:pPr>
      <w:r>
        <w:rPr>
          <w:rFonts w:hint="eastAsia" w:ascii="楷体_GB2312" w:eastAsia="楷体_GB2312"/>
          <w:b w:val="0"/>
          <w:bCs w:val="0"/>
          <w:color w:val="auto"/>
          <w:szCs w:val="32"/>
          <w:highlight w:val="none"/>
        </w:rPr>
        <w:t>（三）培养</w:t>
      </w:r>
      <w:r>
        <w:rPr>
          <w:rFonts w:hint="eastAsia" w:ascii="楷体_GB2312" w:eastAsia="楷体_GB2312"/>
          <w:b w:val="0"/>
          <w:bCs w:val="0"/>
          <w:color w:val="auto"/>
          <w:szCs w:val="32"/>
          <w:highlight w:val="none"/>
          <w:lang w:eastAsia="zh-CN"/>
        </w:rPr>
        <w:t>方式</w:t>
      </w:r>
      <w:r>
        <w:rPr>
          <w:rFonts w:hint="eastAsia" w:ascii="楷体_GB2312" w:eastAsia="楷体_GB2312"/>
          <w:b w:val="0"/>
          <w:bCs w:val="0"/>
          <w:color w:val="auto"/>
          <w:szCs w:val="32"/>
          <w:highlight w:val="none"/>
        </w:rPr>
        <w:t>。</w:t>
      </w:r>
      <w:r>
        <w:rPr>
          <w:rFonts w:hint="eastAsia" w:ascii="仿宋_GB2312"/>
          <w:b w:val="0"/>
          <w:bCs w:val="0"/>
          <w:color w:val="auto"/>
          <w:szCs w:val="32"/>
          <w:highlight w:val="none"/>
        </w:rPr>
        <w:t>公费师范生教育学制四年。公费师范生学籍纳入国家正规学籍管理，在校期间享受国家普通本科生相关政策待遇，公费师范生录取后，不得申请调整专业。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</w:pPr>
      <w:r>
        <w:rPr>
          <w:rFonts w:hint="eastAsia" w:ascii="楷体_GB2312" w:eastAsia="楷体_GB2312"/>
          <w:b w:val="0"/>
          <w:bCs w:val="0"/>
          <w:color w:val="auto"/>
          <w:szCs w:val="32"/>
          <w:highlight w:val="none"/>
        </w:rPr>
        <w:t>（四）实习管理。</w:t>
      </w:r>
      <w:r>
        <w:rPr>
          <w:rFonts w:hint="eastAsia" w:ascii="仿宋_GB2312"/>
          <w:b w:val="0"/>
          <w:bCs w:val="0"/>
          <w:color w:val="auto"/>
          <w:szCs w:val="32"/>
          <w:highlight w:val="none"/>
        </w:rPr>
        <w:t>公费师</w:t>
      </w:r>
      <w:r>
        <w:rPr>
          <w:rFonts w:hint="eastAsia" w:ascii="仿宋_GB2312"/>
          <w:color w:val="auto"/>
          <w:szCs w:val="32"/>
          <w:highlight w:val="none"/>
        </w:rPr>
        <w:t>范生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由闽江学院</w:t>
      </w:r>
      <w:r>
        <w:rPr>
          <w:rFonts w:hint="eastAsia" w:ascii="仿宋_GB2312"/>
          <w:color w:val="auto"/>
          <w:szCs w:val="32"/>
          <w:highlight w:val="none"/>
        </w:rPr>
        <w:t>统一组织教育实践和毕业实习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，生源所在县（市）区</w:t>
      </w:r>
      <w:r>
        <w:rPr>
          <w:rFonts w:hint="eastAsia" w:ascii="仿宋_GB2312"/>
          <w:color w:val="auto"/>
          <w:szCs w:val="32"/>
          <w:highlight w:val="none"/>
        </w:rPr>
        <w:t>教育局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配合</w:t>
      </w:r>
      <w:r>
        <w:rPr>
          <w:rFonts w:hint="eastAsia" w:ascii="仿宋_GB2312"/>
          <w:color w:val="auto"/>
          <w:szCs w:val="32"/>
          <w:highlight w:val="none"/>
        </w:rPr>
        <w:t>协调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落实</w:t>
      </w:r>
      <w:r>
        <w:rPr>
          <w:rFonts w:hint="eastAsia" w:ascii="仿宋_GB2312"/>
          <w:color w:val="auto"/>
          <w:szCs w:val="32"/>
          <w:highlight w:val="none"/>
        </w:rPr>
        <w:t>。</w:t>
      </w:r>
      <w:r>
        <w:rPr>
          <w:rFonts w:hint="eastAsia" w:ascii="仿宋_GB2312"/>
          <w:color w:val="auto"/>
          <w:szCs w:val="32"/>
          <w:highlight w:val="none"/>
        </w:rPr>
        <w:br w:type="textWrapping"/>
      </w:r>
      <w:r>
        <w:rPr>
          <w:rFonts w:hint="eastAsia" w:ascii="仿宋_GB2312"/>
          <w:color w:val="auto"/>
          <w:szCs w:val="32"/>
          <w:highlight w:val="none"/>
        </w:rPr>
        <w:t xml:space="preserve">    </w:t>
      </w:r>
      <w:r>
        <w:rPr>
          <w:rFonts w:hint="eastAsia" w:ascii="黑体" w:eastAsia="黑体"/>
          <w:color w:val="auto"/>
          <w:szCs w:val="32"/>
          <w:highlight w:val="none"/>
        </w:rPr>
        <w:t>六、就业管理</w:t>
      </w:r>
      <w:r>
        <w:rPr>
          <w:rFonts w:hint="eastAsia" w:eastAsia="黑体"/>
          <w:color w:val="auto"/>
          <w:szCs w:val="32"/>
          <w:highlight w:val="none"/>
        </w:rPr>
        <w:t> </w:t>
      </w:r>
      <w:r>
        <w:rPr>
          <w:rFonts w:hint="eastAsia" w:ascii="黑体" w:eastAsia="黑体"/>
          <w:color w:val="auto"/>
          <w:szCs w:val="32"/>
          <w:highlight w:val="none"/>
        </w:rPr>
        <w:br w:type="textWrapping"/>
      </w:r>
      <w:r>
        <w:rPr>
          <w:rFonts w:hint="eastAsia" w:ascii="黑体" w:eastAsia="黑体"/>
          <w:color w:val="auto"/>
          <w:szCs w:val="32"/>
          <w:highlight w:val="none"/>
        </w:rPr>
        <w:t xml:space="preserve">    </w:t>
      </w:r>
      <w:r>
        <w:rPr>
          <w:rFonts w:hint="eastAsia" w:ascii="楷体_GB2312" w:eastAsia="楷体_GB2312"/>
          <w:b w:val="0"/>
          <w:bCs w:val="0"/>
          <w:color w:val="auto"/>
          <w:szCs w:val="32"/>
          <w:highlight w:val="none"/>
        </w:rPr>
        <w:t>（一）就业。</w:t>
      </w:r>
      <w:r>
        <w:rPr>
          <w:rFonts w:hint="default" w:ascii="仿宋_GB2312" w:hAnsi="仿宋_GB2312" w:cs="仿宋_GB2312"/>
          <w:b w:val="0"/>
          <w:bCs w:val="0"/>
          <w:color w:val="auto"/>
          <w:szCs w:val="32"/>
          <w:highlight w:val="none"/>
        </w:rPr>
        <w:t>相关县（市）区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教育、机构编制、人社部门要各司其职,协同配合,落实好公费师范生的就业工作。公费师范生就业可以采取专项公开招聘方式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到农村任教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,</w:t>
      </w:r>
      <w:r>
        <w:rPr>
          <w:rFonts w:hint="default" w:ascii="仿宋_GB2312" w:hAnsi="仿宋_GB2312" w:cs="仿宋_GB2312"/>
          <w:b w:val="0"/>
          <w:bCs w:val="0"/>
          <w:color w:val="auto"/>
          <w:szCs w:val="32"/>
          <w:highlight w:val="none"/>
        </w:rPr>
        <w:t>相关县（市）区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专项用于招聘公费师范生的岗位数应不少于该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县（市）区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当年公费师范毕业生人数。经专项公开招聘落实就业学校的，按有关规定办理入编和聘用核准手续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未被聘用的，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仅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可报名参加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本县（市）区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中小学新任教师公开招聘中农村教师岗位的招聘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，或服从本县（市）区安排临时性从事教育教学工作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。公费师范生就业后必须在</w:t>
      </w:r>
      <w:r>
        <w:rPr>
          <w:rFonts w:hint="default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中小学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从事教育教学工作不少于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Cs w:val="32"/>
          <w:highlight w:val="none"/>
        </w:rPr>
      </w:pPr>
      <w:r>
        <w:rPr>
          <w:rFonts w:hint="eastAsia" w:ascii="楷体_GB2312" w:eastAsia="楷体_GB2312"/>
          <w:b w:val="0"/>
          <w:bCs w:val="0"/>
          <w:color w:val="auto"/>
          <w:szCs w:val="32"/>
          <w:highlight w:val="none"/>
        </w:rPr>
        <w:t>（二）违约。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公费师范生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未按上述规定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在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毕业当年</w:t>
      </w:r>
      <w:r>
        <w:rPr>
          <w:rFonts w:hint="eastAsia" w:ascii="仿宋_GB2312" w:hAnsi="仿宋_GB2312" w:cs="仿宋_GB2312"/>
          <w:b w:val="0"/>
          <w:bCs w:val="0"/>
          <w:strike w:val="0"/>
          <w:dstrike w:val="0"/>
          <w:color w:val="auto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月</w:t>
      </w:r>
      <w:r>
        <w:rPr>
          <w:rFonts w:hint="eastAsia" w:ascii="仿宋_GB2312" w:hAnsi="仿宋_GB2312" w:cs="仿宋_GB2312"/>
          <w:b w:val="0"/>
          <w:bCs w:val="0"/>
          <w:strike w:val="0"/>
          <w:dstrike w:val="0"/>
          <w:color w:val="auto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日前到生源所在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县（市）区</w:t>
      </w:r>
      <w:r>
        <w:rPr>
          <w:rFonts w:hint="default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中小学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工作的,视为未能履行协议。公费师范生因特殊情况不能履行协议的,需经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县（市）区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教育局同意,并报市教育局备案。未按规定履行协议的要退还相应的公费教育费用并缴纳违约金。公费师范生在校期间的履约管理由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闽江学院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负责，就业后的履约管理由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生源所在县（市）区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教育局负责。履约情况要建立诚信档案，违约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毕业生5年内不得以任何形式聘用为我市中小学幼儿园教师。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Cs w:val="32"/>
          <w:highlight w:val="none"/>
        </w:rPr>
        <w:t>公费师范生毕业前以及在协议规定的服务期内,一般不得脱产参加高一层次学历教育,鼓励其在职进修高一层次学历。履约期限内，公费师范生不得再与其它任何单位建立新的人事关系和聘用关系，不得调出所在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县（市）区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，否则，视为违约。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</w:pPr>
      <w:r>
        <w:rPr>
          <w:rFonts w:hint="eastAsia" w:ascii="黑体" w:eastAsia="黑体"/>
          <w:color w:val="auto"/>
          <w:szCs w:val="32"/>
          <w:highlight w:val="none"/>
          <w:lang w:eastAsia="zh-CN"/>
        </w:rPr>
        <w:t>七、</w:t>
      </w:r>
      <w:r>
        <w:rPr>
          <w:rFonts w:hint="eastAsia" w:ascii="黑体" w:eastAsia="黑体"/>
          <w:color w:val="auto"/>
          <w:szCs w:val="32"/>
          <w:highlight w:val="none"/>
        </w:rPr>
        <w:t>保障措施</w:t>
      </w:r>
      <w:r>
        <w:rPr>
          <w:rFonts w:hint="eastAsia" w:ascii="黑体" w:eastAsia="黑体"/>
          <w:color w:val="auto"/>
          <w:szCs w:val="32"/>
          <w:highlight w:val="none"/>
        </w:rPr>
        <w:br w:type="textWrapping"/>
      </w:r>
      <w:r>
        <w:rPr>
          <w:rFonts w:hint="eastAsia" w:ascii="仿宋_GB2312"/>
          <w:color w:val="auto"/>
          <w:szCs w:val="32"/>
          <w:highlight w:val="none"/>
        </w:rPr>
        <w:t xml:space="preserve">  </w:t>
      </w:r>
      <w:r>
        <w:rPr>
          <w:rFonts w:hint="eastAsia" w:ascii="仿宋_GB2312"/>
          <w:b/>
          <w:bCs/>
          <w:color w:val="auto"/>
          <w:szCs w:val="32"/>
          <w:highlight w:val="none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  <w:highlight w:val="none"/>
        </w:rPr>
        <w:t xml:space="preserve"> （</w:t>
      </w:r>
      <w:r>
        <w:rPr>
          <w:rFonts w:hint="eastAsia" w:ascii="楷体_GB2312" w:eastAsia="楷体_GB2312"/>
          <w:b w:val="0"/>
          <w:bCs w:val="0"/>
          <w:color w:val="auto"/>
          <w:szCs w:val="32"/>
          <w:highlight w:val="none"/>
        </w:rPr>
        <w:t>一）加强组织领导。</w:t>
      </w:r>
      <w:r>
        <w:rPr>
          <w:rFonts w:hint="default" w:ascii="仿宋_GB2312" w:hAnsi="仿宋_GB2312" w:cs="仿宋_GB2312"/>
          <w:b w:val="0"/>
          <w:bCs w:val="0"/>
          <w:color w:val="auto"/>
          <w:szCs w:val="32"/>
          <w:highlight w:val="none"/>
        </w:rPr>
        <w:t>相关县（市）区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政府要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加强领导，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制定所在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县（市）区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公费师范生培养需求计划，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加大招生、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就业政策宣传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力度，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积极引导和支持优秀高中毕业生报考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公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费教育师范生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切实做好考生组织报名、签订师范生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公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费教育就业协议书和毕业生就业安置，以及工作期间的管理等各项工作。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</w:pPr>
      <w:r>
        <w:rPr>
          <w:rFonts w:hint="eastAsia" w:ascii="楷体_GB2312" w:eastAsia="楷体_GB2312"/>
          <w:b w:val="0"/>
          <w:bCs w:val="0"/>
          <w:color w:val="auto"/>
          <w:szCs w:val="32"/>
          <w:highlight w:val="none"/>
        </w:rPr>
        <w:t>（二）确保经费投入。</w:t>
      </w:r>
      <w:r>
        <w:rPr>
          <w:rFonts w:hint="default" w:ascii="仿宋_GB2312" w:hAnsi="仿宋_GB2312" w:cs="仿宋_GB2312"/>
          <w:b w:val="0"/>
          <w:bCs w:val="0"/>
          <w:color w:val="auto"/>
          <w:szCs w:val="32"/>
          <w:highlight w:val="none"/>
        </w:rPr>
        <w:t>相关县（市）区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要加大经费投入，公费师范生培养经费由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县（市）区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按照有关核定标准按时足额拨付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闽江学院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。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闽江学院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要制定资金管理办法，确保培养免费师范生计划的顺利实施。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Cs w:val="32"/>
          <w:highlight w:val="none"/>
        </w:rPr>
      </w:pPr>
      <w:r>
        <w:rPr>
          <w:rFonts w:hint="eastAsia" w:ascii="楷体_GB2312" w:eastAsia="楷体_GB2312"/>
          <w:b w:val="0"/>
          <w:bCs w:val="0"/>
          <w:color w:val="auto"/>
          <w:szCs w:val="32"/>
          <w:highlight w:val="none"/>
        </w:rPr>
        <w:t>（三）强化培养管理。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eastAsia="zh-CN"/>
        </w:rPr>
        <w:t>闽江学院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要优化师资队伍、设施设备等资源配置，加强师范教育课程建设，强化学生思想品德教育和基本功训练，全面提高学生综合素质，全面提升培养质量。</w:t>
      </w:r>
      <w:r>
        <w:rPr>
          <w:rFonts w:hint="default" w:ascii="仿宋_GB2312" w:hAnsi="仿宋_GB2312" w:cs="仿宋_GB2312"/>
          <w:b w:val="0"/>
          <w:bCs w:val="0"/>
          <w:color w:val="auto"/>
          <w:szCs w:val="32"/>
          <w:highlight w:val="none"/>
        </w:rPr>
        <w:t>相关县（市）区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</w:rPr>
        <w:t>要关心公费师范生的学习生活情况，加强与高校的沟通协调，明确培养需求和目标，共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同培养和造就一支师德高尚、业务精湛、结构合理、充满活力的本土化教师队伍。</w:t>
      </w:r>
    </w:p>
    <w:p>
      <w:pPr>
        <w:pStyle w:val="2"/>
        <w:spacing w:line="600" w:lineRule="exact"/>
        <w:ind w:firstLine="640"/>
        <w:rPr>
          <w:rFonts w:hint="eastAsia" w:ascii="黑体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八、其他</w:t>
      </w:r>
    </w:p>
    <w:p>
      <w:pPr>
        <w:pStyle w:val="2"/>
        <w:spacing w:line="600" w:lineRule="exact"/>
        <w:ind w:firstLine="64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以上举措自印发之日起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施行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，试行两年。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spacing w:line="240" w:lineRule="auto"/>
        <w:jc w:val="left"/>
        <w:textAlignment w:val="auto"/>
        <w:outlineLvl w:val="9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="宋体"/>
          <w:color w:val="auto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福州市教育局办公室                       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印发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701" w:right="1587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MTQyZmM3MmFlNmRmMDY1YzVmNmYyNzg2ZjVlZjEifQ=="/>
  </w:docVars>
  <w:rsids>
    <w:rsidRoot w:val="1DB75728"/>
    <w:rsid w:val="0B1F3F46"/>
    <w:rsid w:val="0BBA7DCD"/>
    <w:rsid w:val="1DB75728"/>
    <w:rsid w:val="27652F4C"/>
    <w:rsid w:val="2B710372"/>
    <w:rsid w:val="2C346F6E"/>
    <w:rsid w:val="2F4C335F"/>
    <w:rsid w:val="39D65AD9"/>
    <w:rsid w:val="44513B23"/>
    <w:rsid w:val="4B730AAD"/>
    <w:rsid w:val="4D694AC2"/>
    <w:rsid w:val="502142E3"/>
    <w:rsid w:val="5228046C"/>
    <w:rsid w:val="524C3BDA"/>
    <w:rsid w:val="5D1908A6"/>
    <w:rsid w:val="5EE66E2F"/>
    <w:rsid w:val="60A126E4"/>
    <w:rsid w:val="6D6472FF"/>
    <w:rsid w:val="6E4F3F31"/>
    <w:rsid w:val="6F5F7F23"/>
    <w:rsid w:val="6F761F99"/>
    <w:rsid w:val="73360E06"/>
    <w:rsid w:val="779A4237"/>
    <w:rsid w:val="7E77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99"/>
    <w:pPr>
      <w:ind w:left="0"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cs="Times New Roman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Balloon Text"/>
    <w:basedOn w:val="1"/>
    <w:semiHidden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Body Text First Indent"/>
    <w:basedOn w:val="4"/>
    <w:qFormat/>
    <w:uiPriority w:val="0"/>
    <w:pPr>
      <w:spacing w:after="0"/>
      <w:ind w:firstLine="420" w:firstLineChars="100"/>
      <w:jc w:val="center"/>
    </w:pPr>
    <w:rPr>
      <w:rFonts w:ascii="Calibri" w:hAnsi="Calibri"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2126</Words>
  <Characters>2156</Characters>
  <Lines>0</Lines>
  <Paragraphs>0</Paragraphs>
  <TotalTime>13</TotalTime>
  <ScaleCrop>false</ScaleCrop>
  <LinksUpToDate>false</LinksUpToDate>
  <CharactersWithSpaces>2324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2022-05-12T03:22:00Z</dcterms:created>
  <dc:creator>苏</dc:creator>
  <cp:lastModifiedBy>邱悦</cp:lastModifiedBy>
  <cp:lastPrinted>2022-08-10T09:34:35Z</cp:lastPrinted>
  <dcterms:modified xsi:type="dcterms:W3CDTF">2022-08-10T09:34:44Z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569785CF05D94BDE8A67E56376C703E3</vt:lpwstr>
  </property>
</Properties>
</file>