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jc w:val="both"/>
        <w:textAlignment w:val="auto"/>
        <w:rPr>
          <w:rFonts w:hint="eastAsia" w:ascii="方正小标宋简体" w:hAnsi="方正小标宋简体" w:eastAsia="方正小标宋简体" w:cs="方正小标宋简体"/>
          <w:b w:val="0"/>
          <w:bCs w:val="0"/>
          <w:color w:val="000000"/>
          <w:spacing w:val="0"/>
          <w:kern w:val="0"/>
          <w:sz w:val="44"/>
          <w:szCs w:val="44"/>
        </w:rPr>
      </w:pPr>
      <w:r>
        <w:rPr>
          <w:rFonts w:hint="eastAsia" w:ascii="仿宋_GB2312" w:hAnsi="Calibri" w:eastAsia="仿宋_GB2312" w:cs="宋体"/>
          <w:color w:val="000000"/>
          <w:kern w:val="0"/>
          <w:sz w:val="32"/>
          <w:szCs w:val="32"/>
          <w:lang w:val="zh-CN"/>
        </w:rPr>
        <w:t>附件</w:t>
      </w:r>
      <w:r>
        <w:rPr>
          <w:rFonts w:hint="eastAsia" w:ascii="仿宋_GB2312" w:eastAsia="仿宋_GB2312" w:cs="宋体"/>
          <w:color w:val="000000"/>
          <w:kern w:val="0"/>
          <w:sz w:val="32"/>
          <w:szCs w:val="32"/>
          <w:lang w:val="en-US" w:eastAsia="zh-CN"/>
        </w:rPr>
        <w:t>1</w:t>
      </w:r>
      <w:r>
        <w:rPr>
          <w:rFonts w:hint="eastAsia" w:ascii="仿宋_GB2312" w:hAnsi="Calibri" w:eastAsia="仿宋_GB2312" w:cs="宋体"/>
          <w:color w:val="000000"/>
          <w:kern w:val="0"/>
          <w:sz w:val="32"/>
          <w:szCs w:val="32"/>
          <w:lang w:val="zh-CN"/>
        </w:rPr>
        <w:t>：</w:t>
      </w:r>
    </w:p>
    <w:p>
      <w:pPr>
        <w:keepNext w:val="0"/>
        <w:keepLines w:val="0"/>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val="0"/>
          <w:color w:val="000000"/>
          <w:spacing w:val="0"/>
          <w:kern w:val="0"/>
          <w:sz w:val="44"/>
          <w:szCs w:val="44"/>
        </w:rPr>
      </w:pPr>
      <w:r>
        <w:rPr>
          <w:rFonts w:hint="eastAsia" w:ascii="方正小标宋简体" w:hAnsi="方正小标宋简体" w:eastAsia="方正小标宋简体" w:cs="方正小标宋简体"/>
          <w:b w:val="0"/>
          <w:bCs w:val="0"/>
          <w:color w:val="000000"/>
          <w:spacing w:val="0"/>
          <w:kern w:val="0"/>
          <w:sz w:val="44"/>
          <w:szCs w:val="44"/>
        </w:rPr>
        <w:t>福州市民办教育发展</w:t>
      </w:r>
    </w:p>
    <w:p>
      <w:pPr>
        <w:keepNext w:val="0"/>
        <w:keepLines w:val="0"/>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val="0"/>
          <w:color w:val="000000"/>
          <w:spacing w:val="0"/>
          <w:kern w:val="0"/>
          <w:sz w:val="44"/>
          <w:szCs w:val="44"/>
        </w:rPr>
      </w:pPr>
      <w:r>
        <w:rPr>
          <w:rFonts w:hint="eastAsia" w:ascii="方正小标宋简体" w:hAnsi="方正小标宋简体" w:eastAsia="方正小标宋简体" w:cs="方正小标宋简体"/>
          <w:b w:val="0"/>
          <w:bCs w:val="0"/>
          <w:color w:val="000000"/>
          <w:spacing w:val="0"/>
          <w:kern w:val="0"/>
          <w:sz w:val="44"/>
          <w:szCs w:val="44"/>
        </w:rPr>
        <w:t>专项资金管理办法（中小学）</w:t>
      </w:r>
    </w:p>
    <w:p>
      <w:pPr>
        <w:keepNext w:val="0"/>
        <w:keepLines w:val="0"/>
        <w:pageBreakBefore w:val="0"/>
        <w:widowControl/>
        <w:kinsoku/>
        <w:wordWrap/>
        <w:overflowPunct/>
        <w:topLinePunct w:val="0"/>
        <w:bidi w:val="0"/>
        <w:snapToGrid/>
        <w:spacing w:line="560" w:lineRule="exact"/>
        <w:jc w:val="both"/>
        <w:textAlignment w:val="auto"/>
        <w:rPr>
          <w:rFonts w:hint="eastAsia" w:ascii="黑体" w:hAnsi="宋体" w:eastAsia="黑体" w:cs="宋体"/>
          <w:b/>
          <w:bCs/>
          <w:color w:val="000000"/>
          <w:kern w:val="0"/>
          <w:sz w:val="36"/>
          <w:szCs w:val="36"/>
        </w:rPr>
      </w:pPr>
    </w:p>
    <w:p>
      <w:pPr>
        <w:keepNext w:val="0"/>
        <w:keepLines w:val="0"/>
        <w:pageBreakBefore w:val="0"/>
        <w:widowControl/>
        <w:numPr>
          <w:ilvl w:val="0"/>
          <w:numId w:val="1"/>
        </w:numPr>
        <w:kinsoku/>
        <w:wordWrap/>
        <w:overflowPunct/>
        <w:topLinePunct w:val="0"/>
        <w:bidi w:val="0"/>
        <w:snapToGrid/>
        <w:spacing w:line="560" w:lineRule="exact"/>
        <w:jc w:val="center"/>
        <w:textAlignment w:val="auto"/>
        <w:rPr>
          <w:rFonts w:hint="eastAsia" w:ascii="黑体" w:hAnsi="黑体" w:eastAsia="黑体" w:cs="黑体"/>
          <w:b w:val="0"/>
          <w:bCs/>
          <w:color w:val="000000"/>
          <w:kern w:val="0"/>
          <w:sz w:val="32"/>
          <w:szCs w:val="32"/>
          <w:lang w:val="zh-CN"/>
        </w:rPr>
      </w:pPr>
      <w:r>
        <w:rPr>
          <w:rFonts w:hint="eastAsia" w:ascii="黑体" w:hAnsi="黑体" w:eastAsia="黑体" w:cs="黑体"/>
          <w:b w:val="0"/>
          <w:bCs/>
          <w:color w:val="000000"/>
          <w:kern w:val="0"/>
          <w:sz w:val="32"/>
          <w:szCs w:val="32"/>
          <w:lang w:val="zh-CN"/>
        </w:rPr>
        <w:t xml:space="preserve"> 总则</w:t>
      </w:r>
    </w:p>
    <w:p>
      <w:pPr>
        <w:keepNext w:val="0"/>
        <w:keepLines w:val="0"/>
        <w:pageBreakBefore w:val="0"/>
        <w:widowControl/>
        <w:numPr>
          <w:ilvl w:val="0"/>
          <w:numId w:val="0"/>
        </w:numPr>
        <w:kinsoku/>
        <w:wordWrap/>
        <w:overflowPunct/>
        <w:topLinePunct w:val="0"/>
        <w:bidi w:val="0"/>
        <w:snapToGrid/>
        <w:spacing w:line="560" w:lineRule="exact"/>
        <w:jc w:val="both"/>
        <w:textAlignment w:val="auto"/>
        <w:rPr>
          <w:rFonts w:hint="eastAsia" w:ascii="仿宋_GB2312" w:eastAsia="仿宋_GB2312" w:cs="宋体"/>
          <w:b/>
          <w:color w:val="000000"/>
          <w:kern w:val="0"/>
          <w:sz w:val="32"/>
          <w:szCs w:val="32"/>
          <w:lang w:val="zh-CN"/>
        </w:rPr>
      </w:pP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第一条</w:t>
      </w:r>
      <w:r>
        <w:rPr>
          <w:rFonts w:hint="eastAsia" w:ascii="仿宋_GB2312" w:eastAsia="仿宋_GB2312" w:cs="宋体"/>
          <w:color w:val="000000"/>
          <w:kern w:val="0"/>
          <w:sz w:val="32"/>
          <w:szCs w:val="32"/>
          <w:lang w:val="zh-CN"/>
        </w:rPr>
        <w:t>  为贯彻落实《中华人民共和国民办教育促进法》《中华人民共和国民办教育促进法实施条例》《福州市全日制民办教育若干规定》和市委、市政府《关于建设教育强市的实施意见》，促进福州市民办中小学教育事业持续健康发展，加强民办教育发展专项资金管理，提高资金使用效益，结合我市实际，制定本办法。</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 xml:space="preserve">第二条 </w:t>
      </w:r>
      <w:r>
        <w:rPr>
          <w:rFonts w:hint="eastAsia" w:ascii="仿宋_GB2312" w:eastAsia="仿宋_GB2312" w:cs="宋体"/>
          <w:color w:val="000000"/>
          <w:kern w:val="0"/>
          <w:sz w:val="32"/>
          <w:szCs w:val="32"/>
          <w:lang w:val="zh-CN"/>
        </w:rPr>
        <w:t> 民办教育发展专项资金（以下简称“专项资金”），是指市教育局年初部门预算安排，用于支持和引导福州市民办教育事业发展的资金。</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第三条  申请专项资金支持的民办中小学应同时满足以下条件：</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（一）扶持对象主要为非营利性市属民办中小学学校。</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（二）具有良好发展潜力，依法办学，教育教学管理和财务管理规范，办学达三年，年检连续两年合格以上，近三年无违纪违法办学行为。</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（三）校园安全工作措施落实，效果明显，近三年没有发生校园重大安全责任事故和影响社会稳定的事件。</w:t>
      </w:r>
    </w:p>
    <w:p>
      <w:pPr>
        <w:keepNext w:val="0"/>
        <w:keepLines w:val="0"/>
        <w:pageBreakBefore w:val="0"/>
        <w:widowControl/>
        <w:numPr>
          <w:ilvl w:val="0"/>
          <w:numId w:val="1"/>
        </w:numPr>
        <w:kinsoku/>
        <w:wordWrap/>
        <w:overflowPunct/>
        <w:topLinePunct w:val="0"/>
        <w:bidi w:val="0"/>
        <w:snapToGrid/>
        <w:spacing w:line="560" w:lineRule="exact"/>
        <w:jc w:val="center"/>
        <w:textAlignment w:val="auto"/>
        <w:rPr>
          <w:rFonts w:hint="eastAsia" w:ascii="黑体" w:hAnsi="黑体" w:eastAsia="黑体" w:cs="黑体"/>
          <w:b w:val="0"/>
          <w:bCs/>
          <w:color w:val="000000"/>
          <w:kern w:val="0"/>
          <w:sz w:val="32"/>
          <w:szCs w:val="32"/>
          <w:lang w:val="zh-CN"/>
        </w:rPr>
      </w:pPr>
      <w:r>
        <w:rPr>
          <w:rFonts w:hint="eastAsia" w:ascii="黑体" w:hAnsi="黑体" w:eastAsia="黑体" w:cs="黑体"/>
          <w:b w:val="0"/>
          <w:bCs/>
          <w:color w:val="000000"/>
          <w:kern w:val="0"/>
          <w:sz w:val="32"/>
          <w:szCs w:val="32"/>
          <w:lang w:val="zh-CN"/>
        </w:rPr>
        <w:t xml:space="preserve"> 职责分工</w:t>
      </w:r>
    </w:p>
    <w:p>
      <w:pPr>
        <w:keepNext w:val="0"/>
        <w:keepLines w:val="0"/>
        <w:pageBreakBefore w:val="0"/>
        <w:widowControl/>
        <w:numPr>
          <w:ilvl w:val="0"/>
          <w:numId w:val="0"/>
        </w:numPr>
        <w:kinsoku/>
        <w:wordWrap/>
        <w:overflowPunct/>
        <w:topLinePunct w:val="0"/>
        <w:bidi w:val="0"/>
        <w:snapToGrid/>
        <w:spacing w:line="560" w:lineRule="exact"/>
        <w:ind w:leftChars="0"/>
        <w:jc w:val="both"/>
        <w:textAlignment w:val="auto"/>
        <w:rPr>
          <w:rFonts w:hint="eastAsia" w:ascii="仿宋_GB2312" w:eastAsia="仿宋_GB2312" w:cs="宋体"/>
          <w:b/>
          <w:color w:val="000000"/>
          <w:kern w:val="0"/>
          <w:sz w:val="32"/>
          <w:szCs w:val="32"/>
          <w:lang w:val="zh-CN"/>
        </w:rPr>
      </w:pP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第四条</w:t>
      </w:r>
      <w:r>
        <w:rPr>
          <w:rFonts w:hint="eastAsia" w:ascii="仿宋_GB2312" w:eastAsia="仿宋_GB2312" w:cs="宋体"/>
          <w:color w:val="000000"/>
          <w:kern w:val="0"/>
          <w:sz w:val="32"/>
          <w:szCs w:val="32"/>
          <w:lang w:val="zh-CN"/>
        </w:rPr>
        <w:t xml:space="preserve">  市</w:t>
      </w:r>
      <w:r>
        <w:rPr>
          <w:rFonts w:ascii="仿宋" w:hAnsi="仿宋" w:eastAsia="仿宋"/>
          <w:color w:val="000000"/>
          <w:sz w:val="32"/>
          <w:szCs w:val="32"/>
        </w:rPr>
        <w:t>教育</w:t>
      </w:r>
      <w:r>
        <w:rPr>
          <w:rFonts w:hint="eastAsia" w:ascii="仿宋" w:hAnsi="仿宋" w:eastAsia="仿宋"/>
          <w:color w:val="000000"/>
          <w:sz w:val="32"/>
          <w:szCs w:val="32"/>
        </w:rPr>
        <w:t>局</w:t>
      </w:r>
      <w:r>
        <w:rPr>
          <w:rFonts w:ascii="仿宋" w:hAnsi="仿宋" w:eastAsia="仿宋"/>
          <w:color w:val="000000"/>
          <w:sz w:val="32"/>
          <w:szCs w:val="32"/>
        </w:rPr>
        <w:t>会同</w:t>
      </w:r>
      <w:r>
        <w:rPr>
          <w:rFonts w:hint="eastAsia" w:ascii="仿宋" w:hAnsi="仿宋" w:eastAsia="仿宋"/>
          <w:color w:val="000000"/>
          <w:sz w:val="32"/>
          <w:szCs w:val="32"/>
        </w:rPr>
        <w:t>市</w:t>
      </w:r>
      <w:r>
        <w:rPr>
          <w:rFonts w:ascii="仿宋" w:hAnsi="仿宋" w:eastAsia="仿宋"/>
          <w:color w:val="000000"/>
          <w:sz w:val="32"/>
          <w:szCs w:val="32"/>
        </w:rPr>
        <w:t>财政</w:t>
      </w:r>
      <w:r>
        <w:rPr>
          <w:rFonts w:hint="eastAsia" w:ascii="仿宋" w:hAnsi="仿宋" w:eastAsia="仿宋"/>
          <w:color w:val="000000"/>
          <w:sz w:val="32"/>
          <w:szCs w:val="32"/>
        </w:rPr>
        <w:t>局</w:t>
      </w:r>
      <w:r>
        <w:rPr>
          <w:rFonts w:ascii="仿宋" w:hAnsi="仿宋" w:eastAsia="仿宋"/>
          <w:color w:val="000000"/>
          <w:sz w:val="32"/>
          <w:szCs w:val="32"/>
        </w:rPr>
        <w:t>组织实施专项资金管理具体工作</w:t>
      </w:r>
      <w:r>
        <w:rPr>
          <w:rFonts w:hint="eastAsia" w:ascii="仿宋" w:hAnsi="仿宋" w:eastAsia="仿宋"/>
          <w:color w:val="000000"/>
          <w:sz w:val="32"/>
          <w:szCs w:val="32"/>
          <w:lang w:eastAsia="zh-CN"/>
        </w:rPr>
        <w:t>。市教育局</w:t>
      </w:r>
      <w:r>
        <w:rPr>
          <w:rFonts w:ascii="仿宋" w:hAnsi="仿宋" w:eastAsia="仿宋"/>
          <w:color w:val="000000"/>
          <w:sz w:val="32"/>
          <w:szCs w:val="32"/>
        </w:rPr>
        <w:t>负责编制专项资金年度预算计划，</w:t>
      </w:r>
      <w:r>
        <w:rPr>
          <w:rFonts w:hint="eastAsia" w:ascii="仿宋" w:hAnsi="仿宋" w:eastAsia="仿宋"/>
          <w:color w:val="000000"/>
          <w:sz w:val="32"/>
          <w:szCs w:val="32"/>
        </w:rPr>
        <w:t>开展民办</w:t>
      </w:r>
      <w:r>
        <w:rPr>
          <w:rFonts w:hint="eastAsia" w:ascii="仿宋" w:hAnsi="仿宋" w:eastAsia="仿宋"/>
          <w:color w:val="000000"/>
          <w:sz w:val="32"/>
          <w:szCs w:val="32"/>
          <w:lang w:eastAsia="zh-CN"/>
        </w:rPr>
        <w:t>学</w:t>
      </w:r>
      <w:r>
        <w:rPr>
          <w:rFonts w:hint="eastAsia" w:ascii="仿宋" w:hAnsi="仿宋" w:eastAsia="仿宋"/>
          <w:color w:val="000000"/>
          <w:sz w:val="32"/>
          <w:szCs w:val="32"/>
        </w:rPr>
        <w:t>校办学水平认定工作，</w:t>
      </w:r>
      <w:r>
        <w:rPr>
          <w:rFonts w:hint="eastAsia" w:ascii="仿宋" w:hAnsi="仿宋" w:eastAsia="仿宋"/>
          <w:color w:val="000000"/>
          <w:sz w:val="32"/>
          <w:szCs w:val="32"/>
          <w:lang w:eastAsia="zh-CN"/>
        </w:rPr>
        <w:t>组织</w:t>
      </w:r>
      <w:r>
        <w:rPr>
          <w:rFonts w:hint="eastAsia" w:ascii="仿宋" w:hAnsi="仿宋" w:eastAsia="仿宋"/>
          <w:color w:val="000000"/>
          <w:sz w:val="32"/>
          <w:szCs w:val="32"/>
        </w:rPr>
        <w:t>申报项目评审，</w:t>
      </w:r>
      <w:r>
        <w:rPr>
          <w:rFonts w:hint="eastAsia" w:ascii="仿宋" w:hAnsi="仿宋" w:eastAsia="仿宋"/>
          <w:color w:val="000000"/>
          <w:sz w:val="32"/>
          <w:szCs w:val="32"/>
          <w:lang w:eastAsia="zh-CN"/>
        </w:rPr>
        <w:t>结合年度专项资金规模，</w:t>
      </w:r>
      <w:r>
        <w:rPr>
          <w:rFonts w:ascii="仿宋" w:hAnsi="仿宋" w:eastAsia="仿宋"/>
          <w:color w:val="000000"/>
          <w:sz w:val="32"/>
          <w:szCs w:val="32"/>
        </w:rPr>
        <w:t>提出专项资金具体</w:t>
      </w:r>
      <w:r>
        <w:rPr>
          <w:rFonts w:hint="eastAsia" w:ascii="仿宋" w:hAnsi="仿宋" w:eastAsia="仿宋"/>
          <w:color w:val="000000"/>
          <w:sz w:val="32"/>
          <w:szCs w:val="32"/>
          <w:lang w:eastAsia="zh-CN"/>
        </w:rPr>
        <w:t>分配</w:t>
      </w:r>
      <w:r>
        <w:rPr>
          <w:rFonts w:ascii="仿宋" w:hAnsi="仿宋" w:eastAsia="仿宋"/>
          <w:color w:val="000000"/>
          <w:sz w:val="32"/>
          <w:szCs w:val="32"/>
        </w:rPr>
        <w:t>方案，实施</w:t>
      </w:r>
      <w:r>
        <w:rPr>
          <w:rFonts w:hint="eastAsia" w:ascii="仿宋" w:hAnsi="仿宋" w:eastAsia="仿宋"/>
          <w:color w:val="000000"/>
          <w:sz w:val="32"/>
          <w:szCs w:val="32"/>
        </w:rPr>
        <w:t>绩效评价</w:t>
      </w:r>
      <w:r>
        <w:rPr>
          <w:rFonts w:ascii="仿宋" w:hAnsi="仿宋" w:eastAsia="仿宋"/>
          <w:color w:val="000000"/>
          <w:sz w:val="32"/>
          <w:szCs w:val="32"/>
        </w:rPr>
        <w:t>等</w:t>
      </w:r>
      <w:r>
        <w:rPr>
          <w:rFonts w:hint="eastAsia" w:ascii="仿宋" w:hAnsi="仿宋" w:eastAsia="仿宋"/>
          <w:color w:val="000000"/>
          <w:sz w:val="32"/>
          <w:szCs w:val="32"/>
        </w:rPr>
        <w:t>工作</w:t>
      </w:r>
      <w:r>
        <w:rPr>
          <w:rFonts w:ascii="仿宋" w:hAnsi="仿宋" w:eastAsia="仿宋"/>
          <w:color w:val="00000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第五条</w:t>
      </w:r>
      <w:r>
        <w:rPr>
          <w:rFonts w:hint="eastAsia" w:ascii="仿宋_GB2312" w:eastAsia="仿宋_GB2312" w:cs="宋体"/>
          <w:color w:val="000000"/>
          <w:kern w:val="0"/>
          <w:sz w:val="32"/>
          <w:szCs w:val="32"/>
          <w:lang w:val="zh-CN"/>
        </w:rPr>
        <w:t xml:space="preserve">  学校按要求做好专项资金项目申报、执行、资金管理、绩效自评等具体工作，接受专项资金绩效评价。</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宋体"/>
          <w:color w:val="000000"/>
          <w:kern w:val="0"/>
          <w:sz w:val="32"/>
          <w:szCs w:val="32"/>
          <w:lang w:val="zh-CN"/>
        </w:rPr>
      </w:pPr>
    </w:p>
    <w:p>
      <w:pPr>
        <w:keepNext w:val="0"/>
        <w:keepLines w:val="0"/>
        <w:pageBreakBefore w:val="0"/>
        <w:widowControl/>
        <w:numPr>
          <w:ilvl w:val="0"/>
          <w:numId w:val="1"/>
        </w:numPr>
        <w:kinsoku/>
        <w:wordWrap/>
        <w:overflowPunct/>
        <w:topLinePunct w:val="0"/>
        <w:bidi w:val="0"/>
        <w:snapToGrid/>
        <w:spacing w:line="560" w:lineRule="exact"/>
        <w:ind w:left="0" w:leftChars="0" w:firstLine="0" w:firstLineChars="0"/>
        <w:jc w:val="center"/>
        <w:textAlignment w:val="auto"/>
        <w:rPr>
          <w:rFonts w:hint="eastAsia" w:ascii="黑体" w:hAnsi="黑体" w:eastAsia="黑体" w:cs="黑体"/>
          <w:b w:val="0"/>
          <w:bCs/>
          <w:color w:val="000000"/>
          <w:kern w:val="0"/>
          <w:sz w:val="32"/>
          <w:szCs w:val="32"/>
          <w:lang w:val="zh-CN"/>
        </w:rPr>
      </w:pPr>
      <w:r>
        <w:rPr>
          <w:rFonts w:hint="eastAsia" w:ascii="黑体" w:hAnsi="黑体" w:eastAsia="黑体" w:cs="黑体"/>
          <w:b w:val="0"/>
          <w:bCs/>
          <w:color w:val="000000"/>
          <w:kern w:val="0"/>
          <w:sz w:val="32"/>
          <w:szCs w:val="32"/>
          <w:lang w:val="zh-CN"/>
        </w:rPr>
        <w:t xml:space="preserve"> 奖补项目及标准</w:t>
      </w:r>
    </w:p>
    <w:p>
      <w:pPr>
        <w:keepNext w:val="0"/>
        <w:keepLines w:val="0"/>
        <w:pageBreakBefore w:val="0"/>
        <w:widowControl/>
        <w:numPr>
          <w:ilvl w:val="0"/>
          <w:numId w:val="0"/>
        </w:numPr>
        <w:kinsoku/>
        <w:wordWrap/>
        <w:overflowPunct/>
        <w:topLinePunct w:val="0"/>
        <w:bidi w:val="0"/>
        <w:snapToGrid/>
        <w:spacing w:line="560" w:lineRule="exact"/>
        <w:ind w:leftChars="0"/>
        <w:jc w:val="both"/>
        <w:textAlignment w:val="auto"/>
        <w:rPr>
          <w:rFonts w:hint="eastAsia" w:ascii="仿宋_GB2312" w:eastAsia="仿宋_GB2312" w:cs="宋体"/>
          <w:b/>
          <w:color w:val="000000"/>
          <w:kern w:val="0"/>
          <w:sz w:val="32"/>
          <w:szCs w:val="32"/>
          <w:lang w:val="zh-CN"/>
        </w:rPr>
      </w:pP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第六条</w:t>
      </w:r>
      <w:r>
        <w:rPr>
          <w:rFonts w:hint="eastAsia" w:ascii="仿宋_GB2312" w:eastAsia="仿宋_GB2312" w:cs="宋体"/>
          <w:color w:val="000000"/>
          <w:kern w:val="0"/>
          <w:sz w:val="32"/>
          <w:szCs w:val="32"/>
          <w:lang w:val="zh-CN"/>
        </w:rPr>
        <w:t xml:space="preserve">  专项资金主要支持用于改善民办学校</w:t>
      </w:r>
      <w:r>
        <w:rPr>
          <w:rFonts w:hint="eastAsia" w:ascii="仿宋_GB2312" w:eastAsia="仿宋_GB2312" w:cs="宋体"/>
          <w:color w:val="000000"/>
          <w:kern w:val="0"/>
          <w:sz w:val="32"/>
          <w:szCs w:val="32"/>
          <w:lang w:val="zh-CN" w:eastAsia="zh-CN"/>
        </w:rPr>
        <w:t>办学</w:t>
      </w:r>
      <w:r>
        <w:rPr>
          <w:rFonts w:hint="eastAsia" w:ascii="仿宋_GB2312" w:eastAsia="仿宋_GB2312" w:cs="宋体"/>
          <w:color w:val="000000"/>
          <w:kern w:val="0"/>
          <w:sz w:val="32"/>
          <w:szCs w:val="32"/>
          <w:lang w:val="zh-CN"/>
        </w:rPr>
        <w:t>条件；提高教师能力素质的培训和保障教师待遇；加强学校安全管理，聘请专职保安人员；奖励年度办学许可评估结果优秀、获得市级以上政府表彰的民办教育先进单位以及经市政府批准的其他项目。</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第七条</w:t>
      </w:r>
      <w:r>
        <w:rPr>
          <w:rFonts w:hint="eastAsia" w:ascii="仿宋_GB2312" w:eastAsia="仿宋_GB2312" w:cs="宋体"/>
          <w:color w:val="000000"/>
          <w:kern w:val="0"/>
          <w:sz w:val="32"/>
          <w:szCs w:val="32"/>
          <w:lang w:val="zh-CN"/>
        </w:rPr>
        <w:t xml:space="preserve"> 奖励和扶持标准</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一）对民办学校提高办学水平和改善办学条件进行补助。资金支持学校加强内涵和规范化建设，扶持范围涵盖：教育教学设施改善；图书（电子图书）、信息化建设；艺术、体育素质教育设施建设；其他重点扶持的市级民办教育项目。</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以学校学年度（上一年9月1日至当年8月31日，申报项目审核通过、完成后，以正式发票时间为准）改善办学条件投入费用为基数按比例补助。对市属民办学校补助经费不超过学校投入改善办学条件项目费用的10%，每所学校封顶10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ascii="仿宋_GB2312" w:eastAsia="仿宋_GB2312" w:cs="宋体"/>
          <w:color w:val="000000"/>
          <w:kern w:val="0"/>
          <w:sz w:val="32"/>
          <w:szCs w:val="32"/>
        </w:rPr>
      </w:pPr>
      <w:r>
        <w:rPr>
          <w:rFonts w:hint="eastAsia" w:ascii="仿宋_GB2312" w:eastAsia="仿宋_GB2312" w:cs="宋体"/>
          <w:color w:val="000000"/>
          <w:kern w:val="0"/>
          <w:sz w:val="32"/>
          <w:szCs w:val="32"/>
          <w:lang w:val="zh-CN"/>
        </w:rPr>
        <w:t>（二）对提高教师能力素质参加的各类教师继续教育培训和教师待遇保障进行奖励。对学校为教师设立企业年金和商业补充医疗保险予以奖励，</w:t>
      </w:r>
      <w:r>
        <w:rPr>
          <w:rFonts w:hint="eastAsia" w:ascii="仿宋_GB2312" w:eastAsia="仿宋_GB2312" w:cs="宋体"/>
          <w:color w:val="000000"/>
          <w:kern w:val="0"/>
          <w:sz w:val="32"/>
          <w:szCs w:val="32"/>
        </w:rPr>
        <w:t>奖励数为实际支出</w:t>
      </w:r>
      <w:r>
        <w:rPr>
          <w:rFonts w:hint="eastAsia" w:ascii="仿宋_GB2312" w:eastAsia="仿宋_GB2312" w:cs="宋体"/>
          <w:color w:val="000000"/>
          <w:kern w:val="0"/>
          <w:sz w:val="32"/>
          <w:szCs w:val="32"/>
          <w:lang w:val="en-US" w:eastAsia="zh-CN"/>
        </w:rPr>
        <w:t>20</w:t>
      </w:r>
      <w:r>
        <w:rPr>
          <w:rFonts w:hint="eastAsia" w:ascii="仿宋_GB2312" w:eastAsia="仿宋_GB2312" w:cs="宋体"/>
          <w:color w:val="000000"/>
          <w:kern w:val="0"/>
          <w:sz w:val="32"/>
          <w:szCs w:val="32"/>
        </w:rPr>
        <w:t>%</w:t>
      </w:r>
      <w:r>
        <w:rPr>
          <w:rFonts w:hint="eastAsia" w:ascii="仿宋_GB2312" w:eastAsia="仿宋_GB2312" w:cs="宋体"/>
          <w:color w:val="000000"/>
          <w:kern w:val="0"/>
          <w:sz w:val="32"/>
          <w:szCs w:val="32"/>
          <w:lang w:eastAsia="zh-CN"/>
        </w:rPr>
        <w:t>，</w:t>
      </w:r>
      <w:r>
        <w:rPr>
          <w:rFonts w:hint="eastAsia" w:ascii="仿宋_GB2312" w:eastAsia="仿宋_GB2312" w:cs="宋体"/>
          <w:color w:val="000000"/>
          <w:kern w:val="0"/>
          <w:sz w:val="32"/>
          <w:szCs w:val="32"/>
          <w:lang w:val="zh-CN"/>
        </w:rPr>
        <w:t>每所学校封顶</w:t>
      </w:r>
      <w:r>
        <w:rPr>
          <w:rFonts w:hint="eastAsia" w:ascii="仿宋_GB2312" w:eastAsia="仿宋_GB2312" w:cs="宋体"/>
          <w:color w:val="000000"/>
          <w:kern w:val="0"/>
          <w:sz w:val="32"/>
          <w:szCs w:val="32"/>
        </w:rPr>
        <w:t>8万</w:t>
      </w:r>
      <w:r>
        <w:rPr>
          <w:rFonts w:hint="eastAsia" w:ascii="仿宋_GB2312" w:eastAsia="仿宋_GB2312" w:cs="宋体"/>
          <w:color w:val="000000"/>
          <w:kern w:val="0"/>
          <w:sz w:val="32"/>
          <w:szCs w:val="32"/>
          <w:lang w:eastAsia="zh-CN"/>
        </w:rPr>
        <w:t>元</w:t>
      </w:r>
      <w:r>
        <w:rPr>
          <w:rFonts w:hint="eastAsia" w:ascii="仿宋_GB2312" w:eastAsia="仿宋_GB2312" w:cs="宋体"/>
          <w:color w:val="000000"/>
          <w:kern w:val="0"/>
          <w:sz w:val="32"/>
          <w:szCs w:val="32"/>
        </w:rPr>
        <w:t>。</w:t>
      </w:r>
      <w:r>
        <w:rPr>
          <w:rFonts w:hint="eastAsia" w:ascii="仿宋_GB2312" w:eastAsia="仿宋_GB2312" w:cs="宋体"/>
          <w:color w:val="000000"/>
          <w:kern w:val="0"/>
          <w:sz w:val="32"/>
          <w:szCs w:val="32"/>
          <w:lang w:eastAsia="zh-CN"/>
        </w:rPr>
        <w:t>对</w:t>
      </w:r>
      <w:r>
        <w:rPr>
          <w:rFonts w:hint="eastAsia" w:ascii="仿宋_GB2312" w:eastAsia="仿宋_GB2312" w:cs="宋体"/>
          <w:color w:val="000000"/>
          <w:kern w:val="0"/>
          <w:sz w:val="32"/>
          <w:szCs w:val="32"/>
        </w:rPr>
        <w:t>为学校教师办理住房公积金给予奖励，奖励数为实际支出</w:t>
      </w:r>
      <w:r>
        <w:rPr>
          <w:rFonts w:hint="eastAsia" w:ascii="仿宋_GB2312" w:eastAsia="仿宋_GB2312" w:cs="宋体"/>
          <w:color w:val="000000"/>
          <w:kern w:val="0"/>
          <w:sz w:val="32"/>
          <w:szCs w:val="32"/>
          <w:lang w:val="en-US" w:eastAsia="zh-CN"/>
        </w:rPr>
        <w:t>30</w:t>
      </w:r>
      <w:r>
        <w:rPr>
          <w:rFonts w:hint="eastAsia" w:ascii="仿宋_GB2312" w:eastAsia="仿宋_GB2312" w:cs="宋体"/>
          <w:color w:val="000000"/>
          <w:kern w:val="0"/>
          <w:sz w:val="32"/>
          <w:szCs w:val="32"/>
        </w:rPr>
        <w:t>%，每所学校封顶</w:t>
      </w:r>
      <w:r>
        <w:rPr>
          <w:rFonts w:hint="eastAsia" w:ascii="仿宋_GB2312" w:eastAsia="仿宋_GB2312" w:cs="宋体"/>
          <w:color w:val="000000"/>
          <w:kern w:val="0"/>
          <w:sz w:val="32"/>
          <w:szCs w:val="32"/>
          <w:lang w:val="en-US" w:eastAsia="zh-CN"/>
        </w:rPr>
        <w:t>8</w:t>
      </w:r>
      <w:r>
        <w:rPr>
          <w:rFonts w:hint="eastAsia" w:ascii="仿宋_GB2312" w:eastAsia="仿宋_GB2312" w:cs="宋体"/>
          <w:color w:val="000000"/>
          <w:kern w:val="0"/>
          <w:sz w:val="32"/>
          <w:szCs w:val="32"/>
        </w:rPr>
        <w:t>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（三）学校加强安全管理，聘请专职保安人员。按照提供的保安公司劳务协议及工资发放票据对市属民办学校给予奖补，每年奖补金额统筹安排后确定。</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四）对年检评估等级为优秀（以文件确认为准，下同）的民办学校予以一次性奖励，每年奖励金额统筹安排后确定。对获得省级以上政府表彰的民办教育先进单位一次性奖励10万元，对获得市级政府表彰的民办教育先进单位给予一次性奖励5万元。</w:t>
      </w:r>
      <w:r>
        <w:rPr>
          <w:rFonts w:hint="eastAsia" w:ascii="仿宋_GB2312" w:eastAsia="仿宋_GB2312" w:cs="宋体"/>
          <w:color w:val="000000"/>
          <w:kern w:val="0"/>
          <w:sz w:val="32"/>
          <w:szCs w:val="32"/>
          <w:lang w:val="zh-CN" w:eastAsia="zh-CN"/>
        </w:rPr>
        <w:t>同时获得省级以上和市级政府表彰的，不重复性奖励，按最高级别的表彰一次性奖励10万元。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宋体"/>
          <w:color w:val="000000"/>
          <w:kern w:val="0"/>
          <w:sz w:val="32"/>
          <w:szCs w:val="32"/>
          <w:lang w:val="zh-CN"/>
        </w:rPr>
      </w:pPr>
    </w:p>
    <w:p>
      <w:pPr>
        <w:keepNext w:val="0"/>
        <w:keepLines w:val="0"/>
        <w:pageBreakBefore w:val="0"/>
        <w:widowControl/>
        <w:numPr>
          <w:ilvl w:val="0"/>
          <w:numId w:val="1"/>
        </w:numPr>
        <w:kinsoku/>
        <w:wordWrap/>
        <w:overflowPunct/>
        <w:topLinePunct w:val="0"/>
        <w:bidi w:val="0"/>
        <w:snapToGrid/>
        <w:spacing w:line="560" w:lineRule="exact"/>
        <w:ind w:left="0" w:leftChars="0" w:firstLine="0" w:firstLineChars="0"/>
        <w:jc w:val="center"/>
        <w:textAlignment w:val="auto"/>
        <w:rPr>
          <w:rFonts w:hint="eastAsia" w:ascii="黑体" w:hAnsi="黑体" w:eastAsia="黑体" w:cs="黑体"/>
          <w:b w:val="0"/>
          <w:bCs/>
          <w:color w:val="000000"/>
          <w:kern w:val="0"/>
          <w:sz w:val="32"/>
          <w:szCs w:val="32"/>
          <w:lang w:val="zh-CN"/>
        </w:rPr>
      </w:pPr>
      <w:r>
        <w:rPr>
          <w:rFonts w:hint="eastAsia" w:ascii="黑体" w:hAnsi="黑体" w:eastAsia="黑体" w:cs="黑体"/>
          <w:b w:val="0"/>
          <w:bCs/>
          <w:color w:val="000000"/>
          <w:kern w:val="0"/>
          <w:sz w:val="32"/>
          <w:szCs w:val="32"/>
          <w:lang w:val="zh-CN"/>
        </w:rPr>
        <w:t>其他要求</w:t>
      </w:r>
    </w:p>
    <w:p>
      <w:pPr>
        <w:keepNext w:val="0"/>
        <w:keepLines w:val="0"/>
        <w:pageBreakBefore w:val="0"/>
        <w:widowControl/>
        <w:numPr>
          <w:ilvl w:val="0"/>
          <w:numId w:val="0"/>
        </w:numPr>
        <w:kinsoku/>
        <w:wordWrap/>
        <w:overflowPunct/>
        <w:topLinePunct w:val="0"/>
        <w:bidi w:val="0"/>
        <w:snapToGrid/>
        <w:spacing w:line="560" w:lineRule="exact"/>
        <w:ind w:leftChars="0"/>
        <w:jc w:val="both"/>
        <w:textAlignment w:val="auto"/>
        <w:rPr>
          <w:rFonts w:hint="eastAsia" w:ascii="仿宋_GB2312" w:eastAsia="仿宋_GB2312" w:cs="宋体"/>
          <w:b/>
          <w:color w:val="000000"/>
          <w:kern w:val="0"/>
          <w:sz w:val="32"/>
          <w:szCs w:val="32"/>
          <w:lang w:val="zh-CN"/>
        </w:rPr>
      </w:pP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第八条</w:t>
      </w:r>
      <w:r>
        <w:rPr>
          <w:rFonts w:hint="eastAsia" w:ascii="仿宋_GB2312" w:eastAsia="仿宋_GB2312" w:cs="宋体"/>
          <w:color w:val="000000"/>
          <w:kern w:val="0"/>
          <w:sz w:val="32"/>
          <w:szCs w:val="32"/>
          <w:lang w:val="en-US" w:eastAsia="zh-CN"/>
        </w:rPr>
        <w:t xml:space="preserve"> </w:t>
      </w:r>
      <w:r>
        <w:rPr>
          <w:rFonts w:hint="eastAsia" w:ascii="仿宋_GB2312" w:eastAsia="仿宋_GB2312" w:cs="宋体"/>
          <w:color w:val="000000"/>
          <w:kern w:val="0"/>
          <w:sz w:val="32"/>
          <w:szCs w:val="32"/>
          <w:lang w:val="zh-CN"/>
        </w:rPr>
        <w:t>学校申报项目时间为每年的9月份，每年9月15日前各校向教育局提出奖补资金申请，并提供有关票据等相关佐证材料，教育局核实时间不超过30个工作日。</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第九条</w:t>
      </w:r>
      <w:r>
        <w:rPr>
          <w:rFonts w:hint="eastAsia" w:ascii="仿宋_GB2312" w:eastAsia="仿宋_GB2312" w:cs="宋体"/>
          <w:color w:val="000000"/>
          <w:kern w:val="0"/>
          <w:sz w:val="32"/>
          <w:szCs w:val="32"/>
          <w:lang w:val="zh-CN"/>
        </w:rPr>
        <w:t> </w:t>
      </w:r>
      <w:r>
        <w:rPr>
          <w:rFonts w:hint="eastAsia" w:ascii="仿宋_GB2312" w:eastAsia="仿宋_GB2312" w:cs="宋体"/>
          <w:color w:val="000000"/>
          <w:kern w:val="0"/>
          <w:sz w:val="32"/>
          <w:szCs w:val="32"/>
          <w:lang w:val="en-US" w:eastAsia="zh-CN"/>
        </w:rPr>
        <w:t xml:space="preserve"> </w:t>
      </w:r>
      <w:r>
        <w:rPr>
          <w:rFonts w:hint="eastAsia" w:ascii="仿宋_GB2312" w:eastAsia="仿宋_GB2312" w:cs="宋体"/>
          <w:color w:val="000000"/>
          <w:kern w:val="0"/>
          <w:sz w:val="32"/>
          <w:szCs w:val="32"/>
          <w:lang w:val="zh-CN"/>
        </w:rPr>
        <w:t>专项资金应按规定的项目和用途使用，确保专款专用，各学校任何人员不得以任何理由和方式截留、挤占、挪用，不得用于支付各种罚款、捐款、赞助、投资、清偿债务等。</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第十条</w:t>
      </w:r>
      <w:r>
        <w:rPr>
          <w:rFonts w:hint="eastAsia" w:ascii="黑体" w:hAnsi="黑体" w:eastAsia="黑体" w:cs="黑体"/>
          <w:color w:val="000000"/>
          <w:kern w:val="0"/>
          <w:sz w:val="32"/>
          <w:szCs w:val="32"/>
          <w:lang w:val="zh-CN"/>
        </w:rPr>
        <w:t> </w:t>
      </w:r>
      <w:r>
        <w:rPr>
          <w:rFonts w:hint="eastAsia" w:ascii="黑体" w:hAnsi="黑体" w:eastAsia="黑体" w:cs="黑体"/>
          <w:color w:val="000000"/>
          <w:kern w:val="0"/>
          <w:sz w:val="32"/>
          <w:szCs w:val="32"/>
          <w:lang w:val="en-US" w:eastAsia="zh-CN"/>
        </w:rPr>
        <w:t xml:space="preserve"> </w:t>
      </w:r>
      <w:r>
        <w:rPr>
          <w:rFonts w:hint="eastAsia" w:ascii="仿宋_GB2312" w:eastAsia="仿宋_GB2312" w:cs="宋体"/>
          <w:color w:val="000000"/>
          <w:kern w:val="0"/>
          <w:sz w:val="32"/>
          <w:szCs w:val="32"/>
          <w:lang w:val="zh-CN"/>
        </w:rPr>
        <w:t>民办学校要加强对专项资金的使用管理，建立、健全经费使用和管理的内控制度，接受教育、财政、审计等有关部门的监督和检查，确保专项资金的安全和有效使用。</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第十一条</w:t>
      </w:r>
      <w:r>
        <w:rPr>
          <w:rFonts w:hint="eastAsia" w:ascii="仿宋_GB2312" w:eastAsia="仿宋_GB2312" w:cs="宋体"/>
          <w:color w:val="000000"/>
          <w:kern w:val="0"/>
          <w:sz w:val="32"/>
          <w:szCs w:val="32"/>
          <w:lang w:val="zh-CN"/>
        </w:rPr>
        <w:t> 民办学校在申请专项资金时，如有弄虚作假，一经查实，取消当年当次申请资格，</w:t>
      </w:r>
      <w:r>
        <w:rPr>
          <w:rFonts w:hint="eastAsia" w:ascii="仿宋_GB2312" w:eastAsia="仿宋_GB2312" w:cs="宋体"/>
          <w:color w:val="000000"/>
          <w:kern w:val="0"/>
          <w:sz w:val="32"/>
          <w:szCs w:val="32"/>
          <w:lang w:val="en-US" w:eastAsia="zh-CN"/>
        </w:rPr>
        <w:t>2年内不得申请专项资金</w:t>
      </w:r>
      <w:r>
        <w:rPr>
          <w:rFonts w:hint="eastAsia" w:ascii="仿宋_GB2312" w:eastAsia="仿宋_GB2312" w:cs="宋体"/>
          <w:color w:val="000000"/>
          <w:kern w:val="0"/>
          <w:sz w:val="32"/>
          <w:szCs w:val="32"/>
          <w:lang w:val="zh-CN"/>
        </w:rPr>
        <w:t>（含当年当次在内）。</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第十二条</w:t>
      </w:r>
      <w:r>
        <w:rPr>
          <w:rFonts w:hint="eastAsia" w:ascii="仿宋_GB2312" w:eastAsia="仿宋_GB2312" w:cs="宋体"/>
          <w:color w:val="000000"/>
          <w:kern w:val="0"/>
          <w:sz w:val="32"/>
          <w:szCs w:val="32"/>
          <w:lang w:val="zh-CN"/>
        </w:rPr>
        <w:t> 民办学校违规使用专项资金，或有其它违法、违规办学行为的，由教育主管部门责令限期整改，并视情节轻重，予以缓拨、停拨、追回已下达的专项资金，取消其</w:t>
      </w:r>
      <w:r>
        <w:rPr>
          <w:rFonts w:hint="eastAsia" w:ascii="仿宋_GB2312" w:eastAsia="仿宋_GB2312" w:cs="宋体"/>
          <w:color w:val="000000"/>
          <w:kern w:val="0"/>
          <w:sz w:val="32"/>
          <w:szCs w:val="32"/>
          <w:lang w:val="en-US" w:eastAsia="zh-CN"/>
        </w:rPr>
        <w:t>1-3年的</w:t>
      </w:r>
      <w:r>
        <w:rPr>
          <w:rFonts w:hint="eastAsia" w:ascii="仿宋_GB2312" w:eastAsia="仿宋_GB2312" w:cs="宋体"/>
          <w:color w:val="000000"/>
          <w:kern w:val="0"/>
          <w:sz w:val="32"/>
          <w:szCs w:val="32"/>
          <w:lang w:val="zh-CN"/>
        </w:rPr>
        <w:t>专项资金申请资格。</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第十三条</w:t>
      </w:r>
      <w:r>
        <w:rPr>
          <w:rFonts w:hint="eastAsia" w:ascii="仿宋_GB2312" w:eastAsia="仿宋_GB2312" w:cs="宋体"/>
          <w:color w:val="000000"/>
          <w:kern w:val="0"/>
          <w:sz w:val="32"/>
          <w:szCs w:val="32"/>
          <w:lang w:val="zh-CN"/>
        </w:rPr>
        <w:t> 各级专项资金管理工作人员违反本规定，不认真履行职责，在管理和监督工作中滥用职权、玩忽职守、徇私舞弊的，按照有关规定对责任人进行处分，构成犯罪的，依法追究刑事责任。</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第十四条</w:t>
      </w:r>
      <w:r>
        <w:rPr>
          <w:rFonts w:hint="eastAsia" w:ascii="仿宋_GB2312" w:eastAsia="仿宋_GB2312" w:cs="宋体"/>
          <w:color w:val="000000"/>
          <w:kern w:val="0"/>
          <w:sz w:val="32"/>
          <w:szCs w:val="32"/>
          <w:lang w:val="zh-CN"/>
        </w:rPr>
        <w:t> 民办教育发展专项资金规模如有变动，奖补数额按比例相应调整。</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第十五条</w:t>
      </w:r>
      <w:r>
        <w:rPr>
          <w:rFonts w:hint="eastAsia" w:ascii="仿宋_GB2312" w:eastAsia="仿宋_GB2312" w:cs="宋体"/>
          <w:color w:val="000000"/>
          <w:kern w:val="0"/>
          <w:sz w:val="32"/>
          <w:szCs w:val="32"/>
          <w:lang w:val="zh-CN"/>
        </w:rPr>
        <w:t> 本办法由</w:t>
      </w:r>
      <w:r>
        <w:rPr>
          <w:rFonts w:hint="eastAsia" w:ascii="仿宋_GB2312" w:eastAsia="仿宋_GB2312" w:cs="宋体"/>
          <w:color w:val="000000"/>
          <w:kern w:val="0"/>
          <w:sz w:val="32"/>
          <w:szCs w:val="32"/>
          <w:lang w:val="zh-CN" w:eastAsia="zh-CN"/>
        </w:rPr>
        <w:t>福州</w:t>
      </w:r>
      <w:r>
        <w:rPr>
          <w:rFonts w:hint="eastAsia" w:ascii="仿宋_GB2312" w:eastAsia="仿宋_GB2312" w:cs="宋体"/>
          <w:color w:val="000000"/>
          <w:kern w:val="0"/>
          <w:sz w:val="32"/>
          <w:szCs w:val="32"/>
          <w:lang w:val="zh-CN"/>
        </w:rPr>
        <w:t>市教育局负责解释。</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仿宋_GB2312" w:eastAsia="仿宋_GB2312" w:cs="宋体"/>
          <w:color w:val="000000"/>
          <w:kern w:val="0"/>
          <w:sz w:val="32"/>
          <w:szCs w:val="32"/>
          <w:lang w:val="zh-CN"/>
        </w:rPr>
      </w:pPr>
      <w:r>
        <w:rPr>
          <w:rFonts w:hint="eastAsia" w:ascii="仿宋" w:hAnsi="仿宋" w:eastAsia="仿宋"/>
          <w:b/>
          <w:bCs/>
          <w:color w:val="000000"/>
          <w:sz w:val="32"/>
          <w:szCs w:val="32"/>
          <w:lang w:val="zh-CN"/>
        </w:rPr>
        <w:t>第十六条</w:t>
      </w:r>
      <w:r>
        <w:rPr>
          <w:rFonts w:hint="eastAsia" w:ascii="仿宋_GB2312" w:eastAsia="仿宋_GB2312" w:cs="宋体"/>
          <w:color w:val="000000"/>
          <w:kern w:val="0"/>
          <w:sz w:val="32"/>
          <w:szCs w:val="32"/>
          <w:lang w:val="zh-CN"/>
        </w:rPr>
        <w:t> 本办法自发布之日起实施。</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eastAsia="仿宋_GB2312" w:cs="宋体"/>
          <w:color w:val="000000"/>
          <w:kern w:val="0"/>
          <w:sz w:val="32"/>
          <w:szCs w:val="32"/>
          <w:lang w:val="zh-CN"/>
        </w:rPr>
      </w:pPr>
    </w:p>
    <w:p>
      <w:pPr>
        <w:keepNext w:val="0"/>
        <w:keepLines w:val="0"/>
        <w:pageBreakBefore w:val="0"/>
        <w:widowControl/>
        <w:kinsoku/>
        <w:wordWrap/>
        <w:overflowPunct/>
        <w:topLinePunct w:val="0"/>
        <w:bidi w:val="0"/>
        <w:snapToGrid/>
        <w:spacing w:line="560" w:lineRule="exact"/>
        <w:jc w:val="both"/>
        <w:textAlignment w:val="auto"/>
        <w:rPr>
          <w:rFonts w:hint="eastAsia" w:ascii="仿宋_GB2312" w:hAnsi="Calibri" w:eastAsia="仿宋_GB2312" w:cs="宋体"/>
          <w:color w:val="000000"/>
          <w:kern w:val="0"/>
          <w:sz w:val="32"/>
          <w:szCs w:val="32"/>
          <w:lang w:val="zh-CN"/>
        </w:rPr>
      </w:pPr>
    </w:p>
    <w:p>
      <w:pPr>
        <w:pStyle w:val="2"/>
        <w:rPr>
          <w:rFonts w:hint="eastAsia" w:ascii="仿宋_GB2312" w:hAnsi="Calibri" w:eastAsia="仿宋_GB2312" w:cs="宋体"/>
          <w:color w:val="000000"/>
          <w:kern w:val="0"/>
          <w:sz w:val="32"/>
          <w:szCs w:val="32"/>
          <w:lang w:val="zh-CN"/>
        </w:rPr>
      </w:pPr>
    </w:p>
    <w:p>
      <w:pPr>
        <w:pStyle w:val="2"/>
        <w:ind w:left="0" w:leftChars="0" w:firstLine="0" w:firstLineChars="0"/>
        <w:rPr>
          <w:rFonts w:hint="eastAsia" w:ascii="仿宋_GB2312" w:hAnsi="Calibri" w:eastAsia="仿宋_GB2312" w:cs="宋体"/>
          <w:color w:val="000000"/>
          <w:kern w:val="0"/>
          <w:sz w:val="32"/>
          <w:szCs w:val="32"/>
          <w:lang w:val="zh-CN"/>
        </w:rPr>
      </w:pPr>
    </w:p>
    <w:p>
      <w:pPr>
        <w:keepNext w:val="0"/>
        <w:keepLines w:val="0"/>
        <w:pageBreakBefore w:val="0"/>
        <w:widowControl/>
        <w:kinsoku/>
        <w:wordWrap/>
        <w:overflowPunct/>
        <w:topLinePunct w:val="0"/>
        <w:bidi w:val="0"/>
        <w:snapToGrid/>
        <w:spacing w:line="560" w:lineRule="exact"/>
        <w:jc w:val="both"/>
        <w:textAlignment w:val="auto"/>
        <w:rPr>
          <w:rFonts w:hint="eastAsia" w:ascii="宋体" w:hAnsi="宋体" w:eastAsia="宋体" w:cs="宋体"/>
          <w:b/>
          <w:bCs/>
          <w:color w:val="000000"/>
          <w:sz w:val="44"/>
          <w:szCs w:val="44"/>
        </w:rPr>
      </w:pPr>
      <w:bookmarkStart w:id="0" w:name="_GoBack"/>
      <w:bookmarkEnd w:id="0"/>
      <w:r>
        <w:rPr>
          <w:rFonts w:hint="eastAsia" w:ascii="仿宋_GB2312" w:hAnsi="Calibri" w:eastAsia="仿宋_GB2312" w:cs="宋体"/>
          <w:color w:val="000000"/>
          <w:kern w:val="0"/>
          <w:sz w:val="32"/>
          <w:szCs w:val="32"/>
          <w:lang w:val="zh-CN"/>
        </w:rPr>
        <w:t>附件</w:t>
      </w:r>
      <w:r>
        <w:rPr>
          <w:rFonts w:hint="eastAsia" w:ascii="仿宋_GB2312" w:eastAsia="仿宋_GB2312" w:cs="宋体"/>
          <w:color w:val="000000"/>
          <w:kern w:val="0"/>
          <w:sz w:val="32"/>
          <w:szCs w:val="32"/>
          <w:lang w:val="en-US" w:eastAsia="zh-CN"/>
        </w:rPr>
        <w:t>2</w:t>
      </w:r>
      <w:r>
        <w:rPr>
          <w:rFonts w:hint="eastAsia" w:ascii="仿宋_GB2312" w:hAnsi="Calibri" w:eastAsia="仿宋_GB2312" w:cs="宋体"/>
          <w:color w:val="000000"/>
          <w:kern w:val="0"/>
          <w:sz w:val="32"/>
          <w:szCs w:val="32"/>
          <w:lang w:val="zh-CN"/>
        </w:rPr>
        <w:t>：</w:t>
      </w:r>
    </w:p>
    <w:p>
      <w:pPr>
        <w:keepNext w:val="0"/>
        <w:keepLines w:val="0"/>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val="0"/>
          <w:color w:val="000000"/>
          <w:spacing w:val="0"/>
          <w:kern w:val="0"/>
          <w:sz w:val="44"/>
          <w:szCs w:val="44"/>
        </w:rPr>
      </w:pPr>
      <w:r>
        <w:rPr>
          <w:rFonts w:hint="eastAsia" w:ascii="方正小标宋简体" w:hAnsi="方正小标宋简体" w:eastAsia="方正小标宋简体" w:cs="方正小标宋简体"/>
          <w:b w:val="0"/>
          <w:bCs w:val="0"/>
          <w:color w:val="000000"/>
          <w:spacing w:val="0"/>
          <w:kern w:val="0"/>
          <w:sz w:val="44"/>
          <w:szCs w:val="44"/>
        </w:rPr>
        <w:t>福州市民办教育发展专项资金</w:t>
      </w:r>
    </w:p>
    <w:p>
      <w:pPr>
        <w:keepNext w:val="0"/>
        <w:keepLines w:val="0"/>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val="0"/>
          <w:color w:val="000000"/>
          <w:spacing w:val="0"/>
          <w:kern w:val="0"/>
          <w:sz w:val="44"/>
          <w:szCs w:val="44"/>
        </w:rPr>
      </w:pPr>
      <w:r>
        <w:rPr>
          <w:rFonts w:hint="eastAsia" w:ascii="方正小标宋简体" w:hAnsi="方正小标宋简体" w:eastAsia="方正小标宋简体" w:cs="方正小标宋简体"/>
          <w:b w:val="0"/>
          <w:bCs w:val="0"/>
          <w:color w:val="000000"/>
          <w:spacing w:val="0"/>
          <w:kern w:val="0"/>
          <w:sz w:val="44"/>
          <w:szCs w:val="44"/>
        </w:rPr>
        <w:t>管理办法（高等教育）</w:t>
      </w:r>
    </w:p>
    <w:p>
      <w:pPr>
        <w:keepNext w:val="0"/>
        <w:keepLines w:val="0"/>
        <w:pageBreakBefore w:val="0"/>
        <w:kinsoku/>
        <w:wordWrap/>
        <w:overflowPunct/>
        <w:topLinePunct w:val="0"/>
        <w:bidi w:val="0"/>
        <w:snapToGrid/>
        <w:spacing w:line="560" w:lineRule="exact"/>
        <w:jc w:val="center"/>
        <w:textAlignment w:val="auto"/>
        <w:rPr>
          <w:rFonts w:hint="eastAsia" w:ascii="宋体" w:hAnsi="宋体" w:eastAsia="宋体" w:cs="宋体"/>
          <w:b/>
          <w:bCs/>
          <w:color w:val="000000"/>
          <w:sz w:val="44"/>
          <w:szCs w:val="44"/>
        </w:rPr>
      </w:pPr>
    </w:p>
    <w:p>
      <w:pPr>
        <w:keepNext w:val="0"/>
        <w:keepLines w:val="0"/>
        <w:pageBreakBefore w:val="0"/>
        <w:numPr>
          <w:ilvl w:val="0"/>
          <w:numId w:val="2"/>
        </w:numPr>
        <w:kinsoku/>
        <w:wordWrap/>
        <w:overflowPunct/>
        <w:topLinePunct w:val="0"/>
        <w:bidi w:val="0"/>
        <w:snapToGrid/>
        <w:spacing w:line="560"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 总则</w:t>
      </w:r>
    </w:p>
    <w:p>
      <w:pPr>
        <w:keepNext w:val="0"/>
        <w:keepLines w:val="0"/>
        <w:pageBreakBefore w:val="0"/>
        <w:numPr>
          <w:ilvl w:val="0"/>
          <w:numId w:val="0"/>
        </w:numPr>
        <w:kinsoku/>
        <w:wordWrap/>
        <w:overflowPunct/>
        <w:topLinePunct w:val="0"/>
        <w:bidi w:val="0"/>
        <w:snapToGrid/>
        <w:spacing w:line="560" w:lineRule="exact"/>
        <w:jc w:val="both"/>
        <w:textAlignment w:val="auto"/>
        <w:rPr>
          <w:rFonts w:hint="eastAsia" w:ascii="楷体" w:hAnsi="楷体" w:eastAsia="楷体" w:cs="楷体"/>
          <w:b/>
          <w:bCs/>
          <w:color w:val="000000"/>
          <w:sz w:val="32"/>
          <w:szCs w:val="32"/>
        </w:rPr>
      </w:pP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bCs/>
          <w:color w:val="000000"/>
          <w:sz w:val="32"/>
          <w:szCs w:val="32"/>
        </w:rPr>
        <w:t>第一条</w:t>
      </w:r>
      <w:r>
        <w:rPr>
          <w:rFonts w:hint="eastAsia" w:ascii="仿宋" w:hAnsi="仿宋" w:eastAsia="仿宋"/>
          <w:color w:val="000000"/>
          <w:sz w:val="32"/>
          <w:szCs w:val="32"/>
        </w:rPr>
        <w:t xml:space="preserve">  为促进福州市民办高等教育健康发展，加强和规范民办教育专项资金（高等教育）的管理，提高资金使用效益，根据《中华人民共和国民办教育促进法》《福州市人民政府关于鼓励社会力量兴办教育的实施意见》和市委市政府《关于建设教育强市的实施意见》</w:t>
      </w:r>
      <w:r>
        <w:rPr>
          <w:rFonts w:ascii="仿宋" w:hAnsi="仿宋" w:eastAsia="仿宋"/>
          <w:color w:val="000000"/>
          <w:sz w:val="32"/>
          <w:szCs w:val="32"/>
        </w:rPr>
        <w:t>等有关规定，制定本办法。</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color w:val="000000"/>
          <w:sz w:val="32"/>
          <w:szCs w:val="32"/>
        </w:rPr>
      </w:pPr>
      <w:r>
        <w:rPr>
          <w:rFonts w:ascii="仿宋" w:hAnsi="仿宋" w:eastAsia="仿宋"/>
          <w:b/>
          <w:bCs/>
          <w:color w:val="000000"/>
          <w:sz w:val="32"/>
          <w:szCs w:val="32"/>
        </w:rPr>
        <w:t>第二条</w:t>
      </w:r>
      <w:r>
        <w:rPr>
          <w:rFonts w:hint="eastAsia" w:ascii="仿宋" w:hAnsi="仿宋" w:eastAsia="仿宋"/>
          <w:color w:val="000000"/>
          <w:sz w:val="32"/>
          <w:szCs w:val="32"/>
        </w:rPr>
        <w:t xml:space="preserve">  </w:t>
      </w:r>
      <w:r>
        <w:rPr>
          <w:rFonts w:ascii="仿宋" w:hAnsi="仿宋" w:eastAsia="仿宋"/>
          <w:color w:val="000000"/>
          <w:sz w:val="32"/>
          <w:szCs w:val="32"/>
        </w:rPr>
        <w:t>民办教育发展专项资金</w:t>
      </w:r>
      <w:r>
        <w:rPr>
          <w:rFonts w:hint="eastAsia" w:ascii="仿宋" w:hAnsi="仿宋" w:eastAsia="仿宋"/>
          <w:color w:val="000000"/>
          <w:sz w:val="32"/>
          <w:szCs w:val="32"/>
        </w:rPr>
        <w:t>（高等教育）</w:t>
      </w:r>
      <w:r>
        <w:rPr>
          <w:rFonts w:ascii="仿宋" w:hAnsi="仿宋" w:eastAsia="仿宋"/>
          <w:color w:val="000000"/>
          <w:sz w:val="32"/>
          <w:szCs w:val="32"/>
        </w:rPr>
        <w:t>（以下简称“专项资金”)</w:t>
      </w:r>
      <w:r>
        <w:rPr>
          <w:rFonts w:hint="eastAsia" w:ascii="仿宋" w:hAnsi="仿宋" w:eastAsia="仿宋"/>
          <w:color w:val="000000"/>
          <w:sz w:val="32"/>
          <w:szCs w:val="32"/>
        </w:rPr>
        <w:t>，是指市教育局年度部门预算中安排，</w:t>
      </w:r>
      <w:r>
        <w:rPr>
          <w:rFonts w:ascii="仿宋" w:hAnsi="仿宋" w:eastAsia="仿宋"/>
          <w:color w:val="000000"/>
          <w:sz w:val="32"/>
          <w:szCs w:val="32"/>
        </w:rPr>
        <w:t>用于</w:t>
      </w:r>
      <w:r>
        <w:rPr>
          <w:rFonts w:hint="eastAsia" w:ascii="仿宋" w:hAnsi="仿宋" w:eastAsia="仿宋"/>
          <w:color w:val="000000"/>
          <w:sz w:val="32"/>
          <w:szCs w:val="32"/>
        </w:rPr>
        <w:t>支持我市</w:t>
      </w:r>
      <w:r>
        <w:rPr>
          <w:rFonts w:ascii="仿宋" w:hAnsi="仿宋" w:eastAsia="仿宋"/>
          <w:color w:val="000000"/>
          <w:sz w:val="32"/>
          <w:szCs w:val="32"/>
        </w:rPr>
        <w:t>民办</w:t>
      </w:r>
      <w:r>
        <w:rPr>
          <w:rFonts w:hint="eastAsia" w:ascii="仿宋" w:hAnsi="仿宋" w:eastAsia="仿宋"/>
          <w:color w:val="000000"/>
          <w:sz w:val="32"/>
          <w:szCs w:val="32"/>
        </w:rPr>
        <w:t>高等</w:t>
      </w:r>
      <w:r>
        <w:rPr>
          <w:rFonts w:ascii="仿宋" w:hAnsi="仿宋" w:eastAsia="仿宋"/>
          <w:color w:val="000000"/>
          <w:sz w:val="32"/>
          <w:szCs w:val="32"/>
        </w:rPr>
        <w:t>教育事业发展</w:t>
      </w:r>
      <w:r>
        <w:rPr>
          <w:rFonts w:hint="eastAsia" w:ascii="仿宋" w:hAnsi="仿宋" w:eastAsia="仿宋"/>
          <w:color w:val="000000"/>
          <w:sz w:val="32"/>
          <w:szCs w:val="32"/>
        </w:rPr>
        <w:t>的资金</w:t>
      </w:r>
      <w:r>
        <w:rPr>
          <w:rFonts w:ascii="仿宋" w:hAnsi="仿宋" w:eastAsia="仿宋"/>
          <w:color w:val="000000"/>
          <w:sz w:val="32"/>
          <w:szCs w:val="32"/>
        </w:rPr>
        <w:t>。专项资金的</w:t>
      </w:r>
      <w:r>
        <w:rPr>
          <w:rFonts w:hint="eastAsia" w:ascii="仿宋" w:hAnsi="仿宋" w:eastAsia="仿宋"/>
          <w:color w:val="000000"/>
          <w:sz w:val="32"/>
          <w:szCs w:val="32"/>
        </w:rPr>
        <w:t>支持范围是</w:t>
      </w:r>
      <w:r>
        <w:rPr>
          <w:rFonts w:hint="eastAsia" w:ascii="仿宋" w:hAnsi="仿宋" w:eastAsia="仿宋" w:cs="仿宋"/>
          <w:color w:val="000000"/>
          <w:sz w:val="32"/>
          <w:szCs w:val="32"/>
        </w:rPr>
        <w:t>福州</w:t>
      </w:r>
      <w:r>
        <w:rPr>
          <w:rFonts w:ascii="仿宋" w:hAnsi="仿宋" w:eastAsia="仿宋" w:cs="仿宋"/>
          <w:color w:val="000000"/>
          <w:sz w:val="32"/>
          <w:szCs w:val="32"/>
        </w:rPr>
        <w:t>市属实施高等学历教育的全日制非营利性民办普通高等学校</w:t>
      </w:r>
      <w:r>
        <w:rPr>
          <w:rFonts w:hint="eastAsia" w:ascii="仿宋" w:hAnsi="仿宋" w:eastAsia="仿宋" w:cs="仿宋"/>
          <w:color w:val="000000"/>
          <w:sz w:val="32"/>
          <w:szCs w:val="32"/>
        </w:rPr>
        <w:t>（以下简称“民办高校”）。独立学院</w:t>
      </w:r>
      <w:r>
        <w:rPr>
          <w:rFonts w:ascii="仿宋" w:hAnsi="仿宋" w:eastAsia="仿宋" w:cs="仿宋"/>
          <w:color w:val="000000"/>
          <w:sz w:val="32"/>
          <w:szCs w:val="32"/>
        </w:rPr>
        <w:t>和民办非学历高等教育机构</w:t>
      </w:r>
      <w:r>
        <w:rPr>
          <w:rFonts w:hint="eastAsia" w:ascii="仿宋" w:hAnsi="仿宋" w:eastAsia="仿宋" w:cs="仿宋"/>
          <w:color w:val="000000"/>
          <w:sz w:val="32"/>
          <w:szCs w:val="32"/>
        </w:rPr>
        <w:t>不属于扶持对象。</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第三条</w:t>
      </w:r>
      <w:r>
        <w:rPr>
          <w:rFonts w:hint="eastAsia" w:ascii="仿宋" w:hAnsi="仿宋" w:eastAsia="仿宋" w:cs="仿宋"/>
          <w:color w:val="000000"/>
          <w:sz w:val="32"/>
          <w:szCs w:val="32"/>
        </w:rPr>
        <w:t xml:space="preserve">  </w:t>
      </w:r>
      <w:r>
        <w:rPr>
          <w:rFonts w:ascii="仿宋" w:hAnsi="仿宋" w:eastAsia="仿宋"/>
          <w:color w:val="000000"/>
          <w:sz w:val="32"/>
          <w:szCs w:val="32"/>
        </w:rPr>
        <w:t>申请专项资金支持的</w:t>
      </w:r>
      <w:r>
        <w:rPr>
          <w:rFonts w:hint="eastAsia" w:ascii="仿宋" w:hAnsi="仿宋" w:eastAsia="仿宋" w:cs="仿宋"/>
          <w:color w:val="000000"/>
          <w:sz w:val="32"/>
          <w:szCs w:val="32"/>
        </w:rPr>
        <w:t>民办高校应</w:t>
      </w:r>
      <w:r>
        <w:rPr>
          <w:rFonts w:hint="eastAsia" w:ascii="仿宋" w:hAnsi="仿宋" w:eastAsia="仿宋" w:cs="仿宋"/>
          <w:color w:val="000000"/>
          <w:sz w:val="32"/>
          <w:szCs w:val="32"/>
          <w:lang w:eastAsia="zh-CN"/>
        </w:rPr>
        <w:t>同时</w:t>
      </w:r>
      <w:r>
        <w:rPr>
          <w:rFonts w:hint="eastAsia" w:ascii="仿宋" w:hAnsi="仿宋" w:eastAsia="仿宋" w:cs="仿宋"/>
          <w:color w:val="000000"/>
          <w:sz w:val="32"/>
          <w:szCs w:val="32"/>
        </w:rPr>
        <w:t>满足以下条件：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（一）具有良好发展潜力，依法办学，教育教学管理规范，</w:t>
      </w:r>
    </w:p>
    <w:p>
      <w:pPr>
        <w:keepNext w:val="0"/>
        <w:keepLines w:val="0"/>
        <w:pageBreakBefore w:val="0"/>
        <w:kinsoku/>
        <w:wordWrap/>
        <w:overflowPunct/>
        <w:topLinePunct w:val="0"/>
        <w:bidi w:val="0"/>
        <w:snapToGrid/>
        <w:spacing w:line="560" w:lineRule="exact"/>
        <w:textAlignment w:val="auto"/>
        <w:rPr>
          <w:rFonts w:hint="eastAsia" w:ascii="仿宋" w:hAnsi="仿宋" w:eastAsia="仿宋" w:cs="仿宋"/>
          <w:color w:val="000000"/>
          <w:sz w:val="32"/>
          <w:szCs w:val="32"/>
        </w:rPr>
      </w:pPr>
    </w:p>
    <w:p>
      <w:pPr>
        <w:keepNext w:val="0"/>
        <w:keepLines w:val="0"/>
        <w:pageBreakBefore w:val="0"/>
        <w:kinsoku/>
        <w:wordWrap/>
        <w:overflowPunct/>
        <w:topLinePunct w:val="0"/>
        <w:bidi w:val="0"/>
        <w:snapToGrid/>
        <w:spacing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近三年无违纪违法办学行为；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（二）校园安全工作措施落实，效果明显，近三年没有发生校园重大安全责任事故和影响社会稳定的事件；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（三）重视师资建设，按规定与教职员工签订了聘用合同或劳动合同、缴交社保费，按时足额支付教职工工资；</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（四）管理制度健全，组织架构清晰，财务管理规范，产权明晰。</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000000"/>
          <w:sz w:val="32"/>
          <w:szCs w:val="32"/>
        </w:rPr>
      </w:pPr>
    </w:p>
    <w:p>
      <w:pPr>
        <w:keepNext w:val="0"/>
        <w:keepLines w:val="0"/>
        <w:pageBreakBefore w:val="0"/>
        <w:numPr>
          <w:ilvl w:val="0"/>
          <w:numId w:val="2"/>
        </w:numPr>
        <w:kinsoku/>
        <w:wordWrap/>
        <w:overflowPunct/>
        <w:topLinePunct w:val="0"/>
        <w:bidi w:val="0"/>
        <w:snapToGrid/>
        <w:spacing w:line="560"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 职责分工</w:t>
      </w:r>
    </w:p>
    <w:p>
      <w:pPr>
        <w:keepNext w:val="0"/>
        <w:keepLines w:val="0"/>
        <w:pageBreakBefore w:val="0"/>
        <w:numPr>
          <w:ilvl w:val="0"/>
          <w:numId w:val="0"/>
        </w:numPr>
        <w:kinsoku/>
        <w:wordWrap/>
        <w:overflowPunct/>
        <w:topLinePunct w:val="0"/>
        <w:bidi w:val="0"/>
        <w:snapToGrid/>
        <w:spacing w:line="560" w:lineRule="exact"/>
        <w:ind w:leftChars="0"/>
        <w:jc w:val="both"/>
        <w:textAlignment w:val="auto"/>
        <w:rPr>
          <w:rFonts w:hint="eastAsia" w:ascii="楷体" w:hAnsi="楷体" w:eastAsia="楷体" w:cs="楷体"/>
          <w:b/>
          <w:bCs/>
          <w:color w:val="000000"/>
          <w:sz w:val="32"/>
          <w:szCs w:val="32"/>
        </w:rPr>
      </w:pP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 w:hAnsi="仿宋" w:eastAsia="仿宋"/>
          <w:color w:val="000000"/>
          <w:sz w:val="32"/>
          <w:szCs w:val="32"/>
        </w:rPr>
      </w:pPr>
      <w:r>
        <w:rPr>
          <w:rFonts w:ascii="仿宋" w:hAnsi="仿宋" w:eastAsia="仿宋"/>
          <w:b/>
          <w:bCs/>
          <w:color w:val="000000"/>
          <w:sz w:val="32"/>
          <w:szCs w:val="32"/>
        </w:rPr>
        <w:t>第</w:t>
      </w:r>
      <w:r>
        <w:rPr>
          <w:rFonts w:hint="eastAsia" w:ascii="仿宋" w:hAnsi="仿宋" w:eastAsia="仿宋"/>
          <w:b/>
          <w:bCs/>
          <w:color w:val="000000"/>
          <w:sz w:val="32"/>
          <w:szCs w:val="32"/>
        </w:rPr>
        <w:t>四</w:t>
      </w:r>
      <w:r>
        <w:rPr>
          <w:rFonts w:ascii="仿宋" w:hAnsi="仿宋" w:eastAsia="仿宋"/>
          <w:b/>
          <w:bCs/>
          <w:color w:val="000000"/>
          <w:sz w:val="32"/>
          <w:szCs w:val="32"/>
        </w:rPr>
        <w:t>条</w:t>
      </w:r>
      <w:r>
        <w:rPr>
          <w:rFonts w:hint="eastAsia" w:ascii="仿宋" w:hAnsi="仿宋" w:eastAsia="仿宋"/>
          <w:color w:val="000000"/>
          <w:sz w:val="32"/>
          <w:szCs w:val="32"/>
        </w:rPr>
        <w:t xml:space="preserve">  市</w:t>
      </w:r>
      <w:r>
        <w:rPr>
          <w:rFonts w:ascii="仿宋" w:hAnsi="仿宋" w:eastAsia="仿宋"/>
          <w:color w:val="000000"/>
          <w:sz w:val="32"/>
          <w:szCs w:val="32"/>
        </w:rPr>
        <w:t>教育</w:t>
      </w:r>
      <w:r>
        <w:rPr>
          <w:rFonts w:hint="eastAsia" w:ascii="仿宋" w:hAnsi="仿宋" w:eastAsia="仿宋"/>
          <w:color w:val="000000"/>
          <w:sz w:val="32"/>
          <w:szCs w:val="32"/>
        </w:rPr>
        <w:t>局</w:t>
      </w:r>
      <w:r>
        <w:rPr>
          <w:rFonts w:ascii="仿宋" w:hAnsi="仿宋" w:eastAsia="仿宋"/>
          <w:color w:val="000000"/>
          <w:sz w:val="32"/>
          <w:szCs w:val="32"/>
        </w:rPr>
        <w:t>会同</w:t>
      </w:r>
      <w:r>
        <w:rPr>
          <w:rFonts w:hint="eastAsia" w:ascii="仿宋" w:hAnsi="仿宋" w:eastAsia="仿宋"/>
          <w:color w:val="000000"/>
          <w:sz w:val="32"/>
          <w:szCs w:val="32"/>
        </w:rPr>
        <w:t>市</w:t>
      </w:r>
      <w:r>
        <w:rPr>
          <w:rFonts w:ascii="仿宋" w:hAnsi="仿宋" w:eastAsia="仿宋"/>
          <w:color w:val="000000"/>
          <w:sz w:val="32"/>
          <w:szCs w:val="32"/>
        </w:rPr>
        <w:t>财政</w:t>
      </w:r>
      <w:r>
        <w:rPr>
          <w:rFonts w:hint="eastAsia" w:ascii="仿宋" w:hAnsi="仿宋" w:eastAsia="仿宋"/>
          <w:color w:val="000000"/>
          <w:sz w:val="32"/>
          <w:szCs w:val="32"/>
        </w:rPr>
        <w:t>局</w:t>
      </w:r>
      <w:r>
        <w:rPr>
          <w:rFonts w:ascii="仿宋" w:hAnsi="仿宋" w:eastAsia="仿宋"/>
          <w:color w:val="000000"/>
          <w:sz w:val="32"/>
          <w:szCs w:val="32"/>
        </w:rPr>
        <w:t>组织实施专项资金管理具体工作</w:t>
      </w:r>
      <w:r>
        <w:rPr>
          <w:rFonts w:hint="eastAsia" w:ascii="仿宋" w:hAnsi="仿宋" w:eastAsia="仿宋"/>
          <w:color w:val="000000"/>
          <w:sz w:val="32"/>
          <w:szCs w:val="32"/>
          <w:lang w:eastAsia="zh-CN"/>
        </w:rPr>
        <w:t>。市教育局</w:t>
      </w:r>
      <w:r>
        <w:rPr>
          <w:rFonts w:ascii="仿宋" w:hAnsi="仿宋" w:eastAsia="仿宋"/>
          <w:color w:val="000000"/>
          <w:sz w:val="32"/>
          <w:szCs w:val="32"/>
        </w:rPr>
        <w:t>负责编制专项资金年度预算计划，</w:t>
      </w:r>
      <w:r>
        <w:rPr>
          <w:rFonts w:hint="eastAsia" w:ascii="仿宋" w:hAnsi="仿宋" w:eastAsia="仿宋"/>
          <w:color w:val="000000"/>
          <w:sz w:val="32"/>
          <w:szCs w:val="32"/>
        </w:rPr>
        <w:t>开展民办高校办学水平认定工作，评审专项资金申报项目，</w:t>
      </w:r>
      <w:r>
        <w:rPr>
          <w:rFonts w:ascii="仿宋" w:hAnsi="仿宋" w:eastAsia="仿宋"/>
          <w:color w:val="000000"/>
          <w:sz w:val="32"/>
          <w:szCs w:val="32"/>
        </w:rPr>
        <w:t>提出专项资金具体安排方案，组织实施</w:t>
      </w:r>
      <w:r>
        <w:rPr>
          <w:rFonts w:hint="eastAsia" w:ascii="仿宋" w:hAnsi="仿宋" w:eastAsia="仿宋"/>
          <w:color w:val="000000"/>
          <w:sz w:val="32"/>
          <w:szCs w:val="32"/>
        </w:rPr>
        <w:t>绩效评价</w:t>
      </w:r>
      <w:r>
        <w:rPr>
          <w:rFonts w:ascii="仿宋" w:hAnsi="仿宋" w:eastAsia="仿宋"/>
          <w:color w:val="000000"/>
          <w:sz w:val="32"/>
          <w:szCs w:val="32"/>
        </w:rPr>
        <w:t>等</w:t>
      </w:r>
      <w:r>
        <w:rPr>
          <w:rFonts w:hint="eastAsia" w:ascii="仿宋" w:hAnsi="仿宋" w:eastAsia="仿宋"/>
          <w:color w:val="000000"/>
          <w:sz w:val="32"/>
          <w:szCs w:val="32"/>
        </w:rPr>
        <w:t>工作</w:t>
      </w:r>
      <w:r>
        <w:rPr>
          <w:rFonts w:ascii="仿宋" w:hAnsi="仿宋" w:eastAsia="仿宋"/>
          <w:color w:val="000000"/>
          <w:sz w:val="32"/>
          <w:szCs w:val="32"/>
        </w:rPr>
        <w:t>。</w:t>
      </w:r>
    </w:p>
    <w:p>
      <w:pPr>
        <w:keepNext w:val="0"/>
        <w:keepLines w:val="0"/>
        <w:pageBreakBefore w:val="0"/>
        <w:kinsoku/>
        <w:wordWrap/>
        <w:overflowPunct/>
        <w:topLinePunct w:val="0"/>
        <w:bidi w:val="0"/>
        <w:snapToGrid/>
        <w:spacing w:line="560" w:lineRule="exact"/>
        <w:ind w:firstLine="643" w:firstLineChars="200"/>
        <w:textAlignment w:val="auto"/>
        <w:rPr>
          <w:rFonts w:ascii="仿宋" w:hAnsi="仿宋" w:eastAsia="仿宋"/>
          <w:color w:val="000000"/>
          <w:sz w:val="32"/>
          <w:szCs w:val="32"/>
        </w:rPr>
      </w:pPr>
      <w:r>
        <w:rPr>
          <w:rFonts w:ascii="仿宋" w:hAnsi="仿宋" w:eastAsia="仿宋"/>
          <w:b/>
          <w:bCs/>
          <w:color w:val="000000"/>
          <w:sz w:val="32"/>
          <w:szCs w:val="32"/>
        </w:rPr>
        <w:t>第</w:t>
      </w:r>
      <w:r>
        <w:rPr>
          <w:rFonts w:hint="eastAsia" w:ascii="仿宋" w:hAnsi="仿宋" w:eastAsia="仿宋"/>
          <w:b/>
          <w:bCs/>
          <w:color w:val="000000"/>
          <w:sz w:val="32"/>
          <w:szCs w:val="32"/>
        </w:rPr>
        <w:t>五</w:t>
      </w:r>
      <w:r>
        <w:rPr>
          <w:rFonts w:ascii="仿宋" w:hAnsi="仿宋" w:eastAsia="仿宋"/>
          <w:b/>
          <w:bCs/>
          <w:color w:val="000000"/>
          <w:sz w:val="32"/>
          <w:szCs w:val="32"/>
        </w:rPr>
        <w:t>条</w:t>
      </w:r>
      <w:r>
        <w:rPr>
          <w:rFonts w:hint="eastAsia" w:ascii="仿宋" w:hAnsi="仿宋" w:eastAsia="仿宋"/>
          <w:color w:val="000000"/>
          <w:sz w:val="32"/>
          <w:szCs w:val="32"/>
        </w:rPr>
        <w:t xml:space="preserve">  </w:t>
      </w:r>
      <w:r>
        <w:rPr>
          <w:rFonts w:ascii="仿宋" w:hAnsi="仿宋" w:eastAsia="仿宋"/>
          <w:color w:val="000000"/>
          <w:sz w:val="32"/>
          <w:szCs w:val="32"/>
        </w:rPr>
        <w:t>项目</w:t>
      </w:r>
      <w:r>
        <w:rPr>
          <w:rFonts w:hint="eastAsia" w:ascii="仿宋" w:hAnsi="仿宋" w:eastAsia="仿宋"/>
          <w:color w:val="000000"/>
          <w:sz w:val="32"/>
          <w:szCs w:val="32"/>
        </w:rPr>
        <w:t>申报</w:t>
      </w:r>
      <w:r>
        <w:rPr>
          <w:rFonts w:ascii="仿宋" w:hAnsi="仿宋" w:eastAsia="仿宋"/>
          <w:color w:val="000000"/>
          <w:sz w:val="32"/>
          <w:szCs w:val="32"/>
        </w:rPr>
        <w:t>学校按</w:t>
      </w:r>
      <w:r>
        <w:rPr>
          <w:rFonts w:hint="eastAsia" w:ascii="仿宋" w:hAnsi="仿宋" w:eastAsia="仿宋"/>
          <w:color w:val="000000"/>
          <w:sz w:val="32"/>
          <w:szCs w:val="32"/>
        </w:rPr>
        <w:t>要求做好综合能力自评、参与办学水平认定，开展</w:t>
      </w:r>
      <w:r>
        <w:rPr>
          <w:rFonts w:ascii="仿宋" w:hAnsi="仿宋" w:eastAsia="仿宋"/>
          <w:color w:val="000000"/>
          <w:sz w:val="32"/>
          <w:szCs w:val="32"/>
        </w:rPr>
        <w:t>专项资金项目</w:t>
      </w:r>
      <w:r>
        <w:rPr>
          <w:rFonts w:hint="eastAsia" w:ascii="仿宋" w:hAnsi="仿宋" w:eastAsia="仿宋"/>
          <w:color w:val="000000"/>
          <w:sz w:val="32"/>
          <w:szCs w:val="32"/>
        </w:rPr>
        <w:t>申报、执行、</w:t>
      </w:r>
      <w:r>
        <w:rPr>
          <w:rFonts w:ascii="仿宋" w:hAnsi="仿宋" w:eastAsia="仿宋"/>
          <w:color w:val="000000"/>
          <w:sz w:val="32"/>
          <w:szCs w:val="32"/>
        </w:rPr>
        <w:t>资金</w:t>
      </w:r>
      <w:r>
        <w:rPr>
          <w:rFonts w:hint="eastAsia" w:ascii="仿宋" w:hAnsi="仿宋" w:eastAsia="仿宋"/>
          <w:color w:val="000000"/>
          <w:sz w:val="32"/>
          <w:szCs w:val="32"/>
        </w:rPr>
        <w:t>与资产管理，</w:t>
      </w:r>
      <w:r>
        <w:rPr>
          <w:rFonts w:ascii="仿宋" w:hAnsi="仿宋" w:eastAsia="仿宋"/>
          <w:color w:val="000000"/>
          <w:sz w:val="32"/>
          <w:szCs w:val="32"/>
        </w:rPr>
        <w:t>绩效自评</w:t>
      </w:r>
      <w:r>
        <w:rPr>
          <w:rFonts w:hint="eastAsia" w:ascii="仿宋" w:hAnsi="仿宋" w:eastAsia="仿宋"/>
          <w:color w:val="000000"/>
          <w:sz w:val="32"/>
          <w:szCs w:val="32"/>
        </w:rPr>
        <w:t>，接受绩效评价等具体工作</w:t>
      </w:r>
      <w:r>
        <w:rPr>
          <w:rFonts w:ascii="仿宋" w:hAnsi="仿宋" w:eastAsia="仿宋"/>
          <w:color w:val="000000"/>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olor w:val="000000"/>
          <w:sz w:val="32"/>
          <w:szCs w:val="32"/>
        </w:rPr>
      </w:pPr>
    </w:p>
    <w:p>
      <w:pPr>
        <w:keepNext w:val="0"/>
        <w:keepLines w:val="0"/>
        <w:pageBreakBefore w:val="0"/>
        <w:numPr>
          <w:ilvl w:val="0"/>
          <w:numId w:val="2"/>
        </w:numPr>
        <w:kinsoku/>
        <w:wordWrap/>
        <w:overflowPunct/>
        <w:topLinePunct w:val="0"/>
        <w:bidi w:val="0"/>
        <w:snapToGrid/>
        <w:spacing w:line="560"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 </w:t>
      </w:r>
      <w:r>
        <w:rPr>
          <w:rFonts w:hint="eastAsia" w:ascii="黑体" w:hAnsi="黑体" w:eastAsia="黑体" w:cs="黑体"/>
          <w:b w:val="0"/>
          <w:bCs w:val="0"/>
          <w:color w:val="000000"/>
          <w:sz w:val="32"/>
          <w:szCs w:val="32"/>
          <w:lang w:eastAsia="zh-CN"/>
        </w:rPr>
        <w:t>项目申报</w:t>
      </w:r>
    </w:p>
    <w:p>
      <w:pPr>
        <w:keepNext w:val="0"/>
        <w:keepLines w:val="0"/>
        <w:pageBreakBefore w:val="0"/>
        <w:numPr>
          <w:ilvl w:val="0"/>
          <w:numId w:val="0"/>
        </w:numPr>
        <w:kinsoku/>
        <w:wordWrap/>
        <w:overflowPunct/>
        <w:topLinePunct w:val="0"/>
        <w:bidi w:val="0"/>
        <w:snapToGrid/>
        <w:spacing w:line="560" w:lineRule="exact"/>
        <w:jc w:val="both"/>
        <w:textAlignment w:val="auto"/>
        <w:rPr>
          <w:rFonts w:hint="eastAsia" w:ascii="楷体" w:hAnsi="楷体" w:eastAsia="楷体" w:cs="楷体"/>
          <w:b/>
          <w:bCs/>
          <w:color w:val="000000"/>
          <w:sz w:val="32"/>
          <w:szCs w:val="32"/>
        </w:rPr>
      </w:pP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bCs/>
          <w:color w:val="000000"/>
          <w:sz w:val="32"/>
          <w:szCs w:val="32"/>
        </w:rPr>
        <w:t>第六条</w:t>
      </w:r>
      <w:r>
        <w:rPr>
          <w:rFonts w:hint="eastAsia" w:ascii="仿宋" w:hAnsi="仿宋" w:eastAsia="仿宋"/>
          <w:color w:val="000000"/>
          <w:sz w:val="32"/>
          <w:szCs w:val="32"/>
        </w:rPr>
        <w:t xml:space="preserve">  专项资金以项目申报形式，支持民办高校加强内涵和规范化建设，</w:t>
      </w:r>
      <w:r>
        <w:rPr>
          <w:rFonts w:hint="eastAsia" w:ascii="仿宋" w:hAnsi="仿宋" w:eastAsia="仿宋"/>
          <w:color w:val="000000"/>
          <w:sz w:val="32"/>
          <w:szCs w:val="32"/>
          <w:lang w:eastAsia="zh-CN"/>
        </w:rPr>
        <w:t>申报项目</w:t>
      </w:r>
      <w:r>
        <w:rPr>
          <w:rFonts w:hint="eastAsia" w:ascii="仿宋" w:hAnsi="仿宋" w:eastAsia="仿宋"/>
          <w:color w:val="000000"/>
          <w:sz w:val="32"/>
          <w:szCs w:val="32"/>
        </w:rPr>
        <w:t>范围涵盖：</w:t>
      </w:r>
    </w:p>
    <w:p>
      <w:pPr>
        <w:keepNext w:val="0"/>
        <w:keepLines w:val="0"/>
        <w:pageBreakBefore w:val="0"/>
        <w:numPr>
          <w:ilvl w:val="0"/>
          <w:numId w:val="3"/>
        </w:numPr>
        <w:kinsoku/>
        <w:wordWrap/>
        <w:overflowPunct/>
        <w:topLinePunct w:val="0"/>
        <w:bidi w:val="0"/>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s="仿宋"/>
          <w:color w:val="000000"/>
          <w:sz w:val="32"/>
          <w:szCs w:val="32"/>
        </w:rPr>
        <w:t>学科专业建设与结构优化</w:t>
      </w:r>
      <w:r>
        <w:rPr>
          <w:rFonts w:hint="eastAsia" w:ascii="仿宋" w:hAnsi="仿宋" w:eastAsia="仿宋"/>
          <w:color w:val="000000"/>
          <w:sz w:val="32"/>
          <w:szCs w:val="32"/>
        </w:rPr>
        <w:t>；</w:t>
      </w:r>
    </w:p>
    <w:p>
      <w:pPr>
        <w:keepNext w:val="0"/>
        <w:keepLines w:val="0"/>
        <w:pageBreakBefore w:val="0"/>
        <w:numPr>
          <w:ilvl w:val="0"/>
          <w:numId w:val="3"/>
        </w:numPr>
        <w:kinsoku/>
        <w:wordWrap/>
        <w:overflowPunct/>
        <w:topLinePunct w:val="0"/>
        <w:bidi w:val="0"/>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s="仿宋"/>
          <w:color w:val="000000"/>
          <w:sz w:val="32"/>
          <w:szCs w:val="32"/>
        </w:rPr>
        <w:t>实验室、实训实习基地</w:t>
      </w:r>
      <w:r>
        <w:rPr>
          <w:rFonts w:hint="eastAsia" w:ascii="仿宋" w:hAnsi="仿宋" w:eastAsia="仿宋" w:cs="仿宋"/>
          <w:color w:val="000000"/>
          <w:sz w:val="32"/>
          <w:szCs w:val="32"/>
          <w:lang w:eastAsia="zh-CN"/>
        </w:rPr>
        <w:t>建设</w:t>
      </w:r>
      <w:r>
        <w:rPr>
          <w:rFonts w:hint="eastAsia" w:ascii="仿宋" w:hAnsi="仿宋" w:eastAsia="仿宋" w:cs="仿宋"/>
          <w:color w:val="000000"/>
          <w:sz w:val="32"/>
          <w:szCs w:val="32"/>
        </w:rPr>
        <w:t>，实训教学条件改善</w:t>
      </w:r>
      <w:r>
        <w:rPr>
          <w:rFonts w:hint="eastAsia" w:ascii="仿宋" w:hAnsi="仿宋" w:eastAsia="仿宋"/>
          <w:color w:val="000000"/>
          <w:sz w:val="32"/>
          <w:szCs w:val="32"/>
        </w:rPr>
        <w:t>；</w:t>
      </w:r>
    </w:p>
    <w:p>
      <w:pPr>
        <w:keepNext w:val="0"/>
        <w:keepLines w:val="0"/>
        <w:pageBreakBefore w:val="0"/>
        <w:numPr>
          <w:ilvl w:val="0"/>
          <w:numId w:val="3"/>
        </w:numPr>
        <w:kinsoku/>
        <w:wordWrap/>
        <w:overflowPunct/>
        <w:topLinePunct w:val="0"/>
        <w:bidi w:val="0"/>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图书（电子图书）、信息化建设，提高办学水平；</w:t>
      </w:r>
    </w:p>
    <w:p>
      <w:pPr>
        <w:keepNext w:val="0"/>
        <w:keepLines w:val="0"/>
        <w:pageBreakBefore w:val="0"/>
        <w:kinsoku/>
        <w:wordWrap/>
        <w:overflowPunct/>
        <w:topLinePunct w:val="0"/>
        <w:bidi w:val="0"/>
        <w:snapToGrid/>
        <w:spacing w:line="560" w:lineRule="exact"/>
        <w:ind w:firstLine="640" w:firstLineChars="200"/>
        <w:textAlignment w:val="auto"/>
        <w:rPr>
          <w:rFonts w:hint="eastAsia" w:ascii="楷体" w:hAnsi="楷体" w:eastAsia="楷体" w:cs="楷体"/>
          <w:b/>
          <w:bCs/>
          <w:color w:val="000000"/>
          <w:sz w:val="32"/>
          <w:szCs w:val="32"/>
        </w:rPr>
      </w:pPr>
      <w:r>
        <w:rPr>
          <w:rFonts w:hint="eastAsia" w:ascii="仿宋" w:hAnsi="仿宋" w:eastAsia="仿宋"/>
          <w:color w:val="000000"/>
          <w:sz w:val="32"/>
          <w:szCs w:val="32"/>
        </w:rPr>
        <w:t>（四）高水平艺术团建设；</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（五）其他重点扶持的市级民办教育项目。</w:t>
      </w: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b/>
          <w:bCs/>
          <w:color w:val="000000"/>
          <w:sz w:val="32"/>
          <w:szCs w:val="32"/>
        </w:rPr>
        <w:t>第七条</w:t>
      </w:r>
      <w:r>
        <w:rPr>
          <w:rFonts w:hint="eastAsia" w:ascii="仿宋" w:hAnsi="仿宋" w:eastAsia="仿宋"/>
          <w:color w:val="000000"/>
          <w:sz w:val="32"/>
          <w:szCs w:val="32"/>
        </w:rPr>
        <w:t xml:space="preserve">  专项资金每年的使用方向、申报评审办法以及具体补助和资助标准由市教育局会同市财政局提出，并组织实施。</w:t>
      </w: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第八条  </w:t>
      </w:r>
      <w:r>
        <w:rPr>
          <w:rFonts w:hint="eastAsia" w:ascii="仿宋" w:hAnsi="仿宋" w:eastAsia="仿宋" w:cs="仿宋"/>
          <w:color w:val="000000"/>
          <w:sz w:val="32"/>
          <w:szCs w:val="32"/>
        </w:rPr>
        <w:t>专项资金</w:t>
      </w:r>
      <w:r>
        <w:rPr>
          <w:rFonts w:hint="eastAsia" w:ascii="仿宋" w:hAnsi="仿宋" w:eastAsia="仿宋"/>
          <w:color w:val="000000"/>
          <w:sz w:val="32"/>
          <w:szCs w:val="32"/>
        </w:rPr>
        <w:t>分配采取项目竞争方式 ，由市教育局</w:t>
      </w:r>
      <w:r>
        <w:rPr>
          <w:rFonts w:hint="eastAsia" w:ascii="仿宋" w:hAnsi="仿宋" w:eastAsia="仿宋" w:cs="仿宋"/>
          <w:color w:val="000000"/>
          <w:sz w:val="32"/>
          <w:szCs w:val="32"/>
        </w:rPr>
        <w:t>负责组织专家或委托第三方开展项目评审，</w:t>
      </w:r>
      <w:r>
        <w:rPr>
          <w:rFonts w:hint="eastAsia" w:ascii="仿宋" w:hAnsi="仿宋" w:eastAsia="仿宋"/>
          <w:color w:val="000000"/>
          <w:sz w:val="32"/>
          <w:szCs w:val="32"/>
        </w:rPr>
        <w:t>结合评审结论、年度专项资金规模和民办高校办学水平认定等，提出项目审核意见和专项资金分配方案，按照财政资金</w:t>
      </w:r>
      <w:r>
        <w:rPr>
          <w:rFonts w:hint="eastAsia" w:ascii="仿宋" w:hAnsi="仿宋" w:eastAsia="仿宋"/>
          <w:color w:val="000000"/>
          <w:sz w:val="32"/>
          <w:szCs w:val="32"/>
          <w:lang w:eastAsia="zh-CN"/>
        </w:rPr>
        <w:t>管理</w:t>
      </w:r>
      <w:r>
        <w:rPr>
          <w:rFonts w:hint="eastAsia" w:ascii="仿宋" w:hAnsi="仿宋" w:eastAsia="仿宋"/>
          <w:color w:val="000000"/>
          <w:sz w:val="32"/>
          <w:szCs w:val="32"/>
        </w:rPr>
        <w:t>有关规定办理拨付。资助资金根据项目实施情况实行“一次核定，一次拨付或分期拨付”。</w:t>
      </w: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 w:hAnsi="仿宋" w:eastAsia="仿宋" w:cs="仿宋"/>
          <w:color w:val="000000"/>
          <w:kern w:val="0"/>
          <w:sz w:val="32"/>
          <w:szCs w:val="32"/>
        </w:rPr>
      </w:pPr>
      <w:r>
        <w:rPr>
          <w:rFonts w:hint="eastAsia" w:ascii="仿宋" w:hAnsi="仿宋" w:eastAsia="仿宋"/>
          <w:b/>
          <w:bCs/>
          <w:color w:val="000000"/>
          <w:sz w:val="32"/>
          <w:szCs w:val="32"/>
        </w:rPr>
        <w:t xml:space="preserve">第九条 </w:t>
      </w:r>
      <w:r>
        <w:rPr>
          <w:rFonts w:hint="eastAsia" w:ascii="仿宋" w:hAnsi="仿宋" w:eastAsia="仿宋" w:cs="仿宋"/>
          <w:color w:val="000000"/>
          <w:kern w:val="0"/>
          <w:sz w:val="32"/>
          <w:szCs w:val="32"/>
        </w:rPr>
        <w:t>民办高校申报专项资金须提交民办高校综合能力自评报告、福州民办高等教育发展专项资金项目申报书等材料；具体以市教育局年度申报指南为准。</w:t>
      </w: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第十条  </w:t>
      </w:r>
      <w:r>
        <w:rPr>
          <w:rFonts w:hint="eastAsia" w:ascii="仿宋" w:hAnsi="仿宋" w:eastAsia="仿宋" w:cs="仿宋"/>
          <w:color w:val="000000"/>
          <w:kern w:val="0"/>
          <w:sz w:val="32"/>
          <w:szCs w:val="32"/>
        </w:rPr>
        <w:t>已获市级以外其他各级财政补助的项目，申请市级补助后，补助累计金额不超过项目总投资额</w:t>
      </w:r>
      <w:r>
        <w:rPr>
          <w:rFonts w:hint="eastAsia" w:ascii="仿宋" w:hAnsi="仿宋" w:eastAsia="仿宋" w:cs="仿宋"/>
          <w:color w:val="000000"/>
          <w:sz w:val="32"/>
          <w:szCs w:val="32"/>
        </w:rPr>
        <w:t>的</w:t>
      </w:r>
      <w:r>
        <w:rPr>
          <w:rFonts w:hint="eastAsia" w:ascii="仿宋" w:hAnsi="仿宋" w:eastAsia="仿宋" w:cs="仿宋"/>
          <w:color w:val="000000"/>
          <w:kern w:val="0"/>
          <w:sz w:val="32"/>
          <w:szCs w:val="32"/>
        </w:rPr>
        <w:t>80%；已获得过市级财政补助的项目不得重复申报；申报成功的项目不得再申报其他市级财政补助。</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000000"/>
          <w:kern w:val="0"/>
          <w:sz w:val="32"/>
          <w:szCs w:val="32"/>
        </w:rPr>
      </w:pPr>
    </w:p>
    <w:p>
      <w:pPr>
        <w:keepNext w:val="0"/>
        <w:keepLines w:val="0"/>
        <w:pageBreakBefore w:val="0"/>
        <w:numPr>
          <w:ilvl w:val="0"/>
          <w:numId w:val="2"/>
        </w:numPr>
        <w:kinsoku/>
        <w:wordWrap/>
        <w:overflowPunct/>
        <w:topLinePunct w:val="0"/>
        <w:bidi w:val="0"/>
        <w:snapToGrid/>
        <w:spacing w:line="560"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 资金使用管理</w:t>
      </w:r>
    </w:p>
    <w:p>
      <w:pPr>
        <w:keepNext w:val="0"/>
        <w:keepLines w:val="0"/>
        <w:pageBreakBefore w:val="0"/>
        <w:numPr>
          <w:ilvl w:val="0"/>
          <w:numId w:val="0"/>
        </w:numPr>
        <w:kinsoku/>
        <w:wordWrap/>
        <w:overflowPunct/>
        <w:topLinePunct w:val="0"/>
        <w:bidi w:val="0"/>
        <w:snapToGrid/>
        <w:spacing w:line="560" w:lineRule="exact"/>
        <w:jc w:val="both"/>
        <w:textAlignment w:val="auto"/>
        <w:rPr>
          <w:rFonts w:hint="eastAsia" w:ascii="楷体" w:hAnsi="楷体" w:eastAsia="楷体" w:cs="楷体"/>
          <w:b/>
          <w:bCs/>
          <w:color w:val="000000"/>
          <w:sz w:val="32"/>
          <w:szCs w:val="32"/>
        </w:rPr>
      </w:pP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_GB2312" w:hAnsi="仿宋" w:eastAsia="仿宋_GB2312" w:cs="仿宋"/>
          <w:color w:val="000000"/>
          <w:sz w:val="32"/>
          <w:szCs w:val="32"/>
        </w:rPr>
      </w:pPr>
      <w:r>
        <w:rPr>
          <w:rFonts w:hint="eastAsia" w:ascii="仿宋" w:hAnsi="仿宋" w:eastAsia="仿宋" w:cs="仿宋"/>
          <w:b/>
          <w:bCs/>
          <w:color w:val="000000"/>
          <w:kern w:val="0"/>
          <w:sz w:val="32"/>
          <w:szCs w:val="32"/>
        </w:rPr>
        <w:t>第十一条</w:t>
      </w:r>
      <w:r>
        <w:rPr>
          <w:rFonts w:hint="eastAsia" w:ascii="仿宋" w:hAnsi="仿宋" w:eastAsia="仿宋" w:cs="仿宋"/>
          <w:color w:val="000000"/>
          <w:sz w:val="32"/>
          <w:szCs w:val="32"/>
        </w:rPr>
        <w:t xml:space="preserve"> 专项资金</w:t>
      </w:r>
      <w:r>
        <w:rPr>
          <w:rFonts w:hint="eastAsia" w:ascii="仿宋" w:hAnsi="仿宋" w:eastAsia="仿宋" w:cs="仿宋"/>
          <w:color w:val="000000"/>
          <w:sz w:val="32"/>
          <w:szCs w:val="32"/>
          <w:lang w:eastAsia="zh-CN"/>
        </w:rPr>
        <w:t>用途。专项资金应</w:t>
      </w:r>
      <w:r>
        <w:rPr>
          <w:rFonts w:hint="eastAsia" w:ascii="仿宋" w:hAnsi="仿宋" w:eastAsia="仿宋" w:cs="仿宋"/>
          <w:color w:val="000000"/>
          <w:sz w:val="32"/>
          <w:szCs w:val="32"/>
        </w:rPr>
        <w:t>用于补助添置</w:t>
      </w:r>
      <w:r>
        <w:rPr>
          <w:rFonts w:hint="eastAsia" w:ascii="仿宋" w:hAnsi="仿宋" w:eastAsia="仿宋"/>
          <w:color w:val="000000"/>
          <w:sz w:val="32"/>
          <w:szCs w:val="32"/>
        </w:rPr>
        <w:t>仪器</w:t>
      </w:r>
      <w:r>
        <w:rPr>
          <w:rFonts w:hint="eastAsia" w:ascii="仿宋" w:hAnsi="仿宋" w:eastAsia="仿宋" w:cs="仿宋"/>
          <w:color w:val="000000"/>
          <w:sz w:val="32"/>
          <w:szCs w:val="32"/>
        </w:rPr>
        <w:t>（乐器）</w:t>
      </w:r>
      <w:r>
        <w:rPr>
          <w:rFonts w:hint="eastAsia" w:ascii="仿宋" w:hAnsi="仿宋" w:eastAsia="仿宋"/>
          <w:color w:val="000000"/>
          <w:sz w:val="32"/>
          <w:szCs w:val="32"/>
        </w:rPr>
        <w:t>、设备、图书出版物等</w:t>
      </w:r>
      <w:r>
        <w:rPr>
          <w:rFonts w:hint="eastAsia" w:ascii="仿宋" w:hAnsi="仿宋" w:eastAsia="仿宋" w:cs="仿宋"/>
          <w:color w:val="000000"/>
          <w:sz w:val="32"/>
          <w:szCs w:val="32"/>
        </w:rPr>
        <w:t>。</w:t>
      </w:r>
      <w:r>
        <w:rPr>
          <w:rFonts w:hint="eastAsia" w:ascii="仿宋_GB2312" w:hAnsi="仿宋" w:eastAsia="仿宋_GB2312" w:cs="仿宋"/>
          <w:color w:val="000000"/>
          <w:sz w:val="32"/>
          <w:szCs w:val="32"/>
        </w:rPr>
        <w:t>严禁将专项资金用于基本建设、</w:t>
      </w:r>
      <w:r>
        <w:rPr>
          <w:rFonts w:hint="eastAsia" w:ascii="仿宋_GB2312" w:hAnsi="仿宋" w:eastAsia="仿宋_GB2312" w:cs="仿宋"/>
          <w:color w:val="000000"/>
          <w:sz w:val="32"/>
          <w:szCs w:val="32"/>
          <w:lang w:eastAsia="zh-CN"/>
        </w:rPr>
        <w:t>装修、</w:t>
      </w:r>
      <w:r>
        <w:rPr>
          <w:rFonts w:hint="eastAsia" w:ascii="仿宋_GB2312" w:hAnsi="仿宋" w:eastAsia="仿宋_GB2312" w:cs="仿宋"/>
          <w:color w:val="000000"/>
          <w:sz w:val="32"/>
          <w:szCs w:val="32"/>
        </w:rPr>
        <w:t>偿还银行贷款和其他债务、支付利息、对外投资、人员津贴补贴、支付罚款、捐赠、赞助、弥补其他项目资金缺口等支出；不得从专项资金中提取工作经费或管理经费。</w:t>
      </w: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b/>
          <w:bCs/>
          <w:color w:val="000000"/>
          <w:sz w:val="32"/>
          <w:szCs w:val="32"/>
        </w:rPr>
        <w:t>第十二条</w:t>
      </w:r>
      <w:r>
        <w:rPr>
          <w:rFonts w:hint="eastAsia" w:ascii="仿宋" w:hAnsi="仿宋" w:eastAsia="仿宋"/>
          <w:color w:val="000000"/>
          <w:sz w:val="32"/>
          <w:szCs w:val="32"/>
        </w:rPr>
        <w:t xml:space="preserve"> </w:t>
      </w:r>
      <w:r>
        <w:rPr>
          <w:rFonts w:ascii="仿宋" w:hAnsi="仿宋" w:eastAsia="仿宋"/>
          <w:color w:val="000000"/>
          <w:sz w:val="32"/>
          <w:szCs w:val="32"/>
        </w:rPr>
        <w:t>学校收到项目资金后，应按有关财经制度纳入</w:t>
      </w:r>
      <w:r>
        <w:rPr>
          <w:rFonts w:hint="eastAsia" w:ascii="仿宋" w:hAnsi="仿宋" w:eastAsia="仿宋"/>
          <w:color w:val="000000"/>
          <w:sz w:val="32"/>
          <w:szCs w:val="32"/>
        </w:rPr>
        <w:t>学校财务管理，专款专用。同时，建立健全经费使用和管理的内控制度和监督机制，确保资金的安全和有效使用。</w:t>
      </w:r>
      <w:r>
        <w:rPr>
          <w:rFonts w:hint="eastAsia" w:ascii="仿宋_GB2312" w:hAnsi="仿宋" w:eastAsia="仿宋_GB2312" w:cs="仿宋"/>
          <w:color w:val="000000"/>
          <w:sz w:val="32"/>
          <w:szCs w:val="32"/>
        </w:rPr>
        <w:t>学校规范办学、</w:t>
      </w:r>
      <w:r>
        <w:rPr>
          <w:rFonts w:hint="eastAsia" w:ascii="仿宋" w:hAnsi="仿宋" w:eastAsia="仿宋" w:cs="仿宋"/>
          <w:color w:val="000000"/>
          <w:sz w:val="32"/>
          <w:szCs w:val="32"/>
        </w:rPr>
        <w:t>项目建设进度、总投资进度、财务及资产的规范管理将作为下一年评审的重要参考依据。</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b/>
          <w:bCs/>
          <w:color w:val="000000"/>
          <w:sz w:val="32"/>
          <w:szCs w:val="32"/>
        </w:rPr>
        <w:t xml:space="preserve">第十三条 </w:t>
      </w:r>
      <w:r>
        <w:rPr>
          <w:rFonts w:hint="eastAsia" w:ascii="仿宋" w:hAnsi="仿宋" w:eastAsia="仿宋"/>
          <w:color w:val="000000"/>
          <w:sz w:val="32"/>
          <w:szCs w:val="32"/>
        </w:rPr>
        <w:t>使用专项资金形成资产均属国有资产，应纳入学校资产统一管理，进行分类核算，并按照有关法律规定合理使用。民办高校</w:t>
      </w:r>
      <w:r>
        <w:rPr>
          <w:rFonts w:hint="eastAsia" w:ascii="仿宋" w:hAnsi="仿宋" w:eastAsia="仿宋"/>
          <w:color w:val="000000"/>
          <w:sz w:val="32"/>
          <w:szCs w:val="32"/>
          <w:lang w:eastAsia="zh-CN"/>
        </w:rPr>
        <w:t>进行财务</w:t>
      </w:r>
      <w:r>
        <w:rPr>
          <w:rFonts w:hint="eastAsia" w:ascii="仿宋" w:hAnsi="仿宋" w:eastAsia="仿宋"/>
          <w:color w:val="000000"/>
          <w:sz w:val="32"/>
          <w:szCs w:val="32"/>
        </w:rPr>
        <w:t>清算时，所获财政资助的资金及设备应单列，不得作为举办者的投入；在终止办学时，政府资助的设施设备应根据来源渠道退还政府，继续用于发展民办教育。</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olor w:val="000000"/>
          <w:sz w:val="32"/>
          <w:szCs w:val="32"/>
        </w:rPr>
      </w:pPr>
    </w:p>
    <w:p>
      <w:pPr>
        <w:keepNext w:val="0"/>
        <w:keepLines w:val="0"/>
        <w:pageBreakBefore w:val="0"/>
        <w:numPr>
          <w:ilvl w:val="0"/>
          <w:numId w:val="2"/>
        </w:numPr>
        <w:kinsoku/>
        <w:wordWrap/>
        <w:overflowPunct/>
        <w:topLinePunct w:val="0"/>
        <w:bidi w:val="0"/>
        <w:snapToGrid/>
        <w:spacing w:line="560"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 绩效评价</w:t>
      </w:r>
    </w:p>
    <w:p>
      <w:pPr>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楷体" w:hAnsi="楷体" w:eastAsia="楷体" w:cs="楷体"/>
          <w:b/>
          <w:bCs/>
          <w:color w:val="000000"/>
          <w:sz w:val="32"/>
          <w:szCs w:val="32"/>
        </w:rPr>
      </w:pP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 w:hAnsi="仿宋" w:eastAsia="仿宋"/>
          <w:color w:val="000000"/>
          <w:sz w:val="32"/>
          <w:szCs w:val="32"/>
          <w:lang w:eastAsia="zh-CN"/>
        </w:rPr>
      </w:pPr>
      <w:r>
        <w:rPr>
          <w:rFonts w:hint="eastAsia" w:ascii="仿宋" w:hAnsi="仿宋" w:eastAsia="仿宋"/>
          <w:b/>
          <w:bCs/>
          <w:color w:val="000000"/>
          <w:sz w:val="32"/>
          <w:szCs w:val="32"/>
        </w:rPr>
        <w:t>第十四条</w:t>
      </w:r>
      <w:r>
        <w:rPr>
          <w:rFonts w:hint="eastAsia" w:ascii="仿宋" w:hAnsi="仿宋" w:eastAsia="仿宋"/>
          <w:color w:val="000000"/>
          <w:sz w:val="32"/>
          <w:szCs w:val="32"/>
        </w:rPr>
        <w:t xml:space="preserve">  专项资金实行绩效评价制度。市教育局按规定组织项目学校开展绩效自评，并做好绩效评价工作或引入第三方评价。项目绩效管理情况将作为调整项目预算和核拨经费的重要依据。</w:t>
      </w:r>
      <w:r>
        <w:rPr>
          <w:rFonts w:hint="eastAsia" w:ascii="仿宋" w:hAnsi="仿宋" w:eastAsia="仿宋"/>
          <w:color w:val="000000"/>
          <w:sz w:val="32"/>
          <w:szCs w:val="32"/>
          <w:lang w:eastAsia="zh-CN"/>
        </w:rPr>
        <w:t>专项资金下达后，民办高校未通过相关合格评估的，将追回已下达的专项奖补资金。项目实施过程中发生重大变更的，应报市教育局审批同意并相应调整补助金额。</w:t>
      </w: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b/>
          <w:bCs/>
          <w:color w:val="000000"/>
          <w:sz w:val="32"/>
          <w:szCs w:val="32"/>
        </w:rPr>
        <w:t>第十</w:t>
      </w:r>
      <w:r>
        <w:rPr>
          <w:rFonts w:hint="eastAsia" w:ascii="仿宋" w:hAnsi="仿宋" w:eastAsia="仿宋"/>
          <w:b/>
          <w:bCs/>
          <w:color w:val="000000"/>
          <w:sz w:val="32"/>
          <w:szCs w:val="32"/>
          <w:lang w:eastAsia="zh-CN"/>
        </w:rPr>
        <w:t>五</w:t>
      </w:r>
      <w:r>
        <w:rPr>
          <w:rFonts w:hint="eastAsia" w:ascii="仿宋" w:hAnsi="仿宋" w:eastAsia="仿宋"/>
          <w:b/>
          <w:bCs/>
          <w:color w:val="000000"/>
          <w:sz w:val="32"/>
          <w:szCs w:val="32"/>
        </w:rPr>
        <w:t>条</w:t>
      </w:r>
      <w:r>
        <w:rPr>
          <w:rFonts w:hint="eastAsia" w:ascii="仿宋" w:hAnsi="仿宋" w:eastAsia="仿宋"/>
          <w:color w:val="000000"/>
          <w:sz w:val="32"/>
          <w:szCs w:val="32"/>
        </w:rPr>
        <w:t xml:space="preserve">  民办院校使用专项资金，接受教育、财政、审计等有关部门的审计和检查，对于存在虚报、骗取、冒领、截留、挪用、挤占专项经费等违反财经法律法规行为的民办高校，按照</w:t>
      </w:r>
      <w:r>
        <w:rPr>
          <w:rFonts w:ascii="仿宋" w:hAnsi="仿宋" w:eastAsia="仿宋"/>
          <w:color w:val="000000"/>
          <w:sz w:val="32"/>
          <w:szCs w:val="32"/>
        </w:rPr>
        <w:t>《财</w:t>
      </w:r>
      <w:r>
        <w:rPr>
          <w:rFonts w:hint="eastAsia" w:ascii="仿宋" w:hAnsi="仿宋" w:eastAsia="仿宋"/>
          <w:color w:val="000000"/>
          <w:sz w:val="32"/>
          <w:szCs w:val="32"/>
        </w:rPr>
        <w:t>政违法行为处罚处分条例》</w:t>
      </w:r>
      <w:r>
        <w:rPr>
          <w:rFonts w:ascii="仿宋" w:hAnsi="仿宋" w:eastAsia="仿宋"/>
          <w:color w:val="000000"/>
          <w:sz w:val="32"/>
          <w:szCs w:val="32"/>
        </w:rPr>
        <w:t>等有关</w:t>
      </w:r>
      <w:r>
        <w:rPr>
          <w:rFonts w:hint="eastAsia" w:ascii="仿宋" w:hAnsi="仿宋" w:eastAsia="仿宋"/>
          <w:color w:val="000000"/>
          <w:sz w:val="32"/>
          <w:szCs w:val="32"/>
        </w:rPr>
        <w:t>法律</w:t>
      </w:r>
      <w:r>
        <w:rPr>
          <w:rFonts w:ascii="仿宋" w:hAnsi="仿宋" w:eastAsia="仿宋"/>
          <w:color w:val="000000"/>
          <w:sz w:val="32"/>
          <w:szCs w:val="32"/>
        </w:rPr>
        <w:t>规定予以</w:t>
      </w:r>
      <w:r>
        <w:rPr>
          <w:rFonts w:hint="eastAsia" w:ascii="仿宋" w:hAnsi="仿宋" w:eastAsia="仿宋"/>
          <w:color w:val="000000"/>
          <w:sz w:val="32"/>
          <w:szCs w:val="32"/>
        </w:rPr>
        <w:t>严肃</w:t>
      </w:r>
      <w:r>
        <w:rPr>
          <w:rFonts w:ascii="仿宋" w:hAnsi="仿宋" w:eastAsia="仿宋"/>
          <w:color w:val="000000"/>
          <w:sz w:val="32"/>
          <w:szCs w:val="32"/>
        </w:rPr>
        <w:t>处理，视情节轻重停拨资金或追回已拨资金，依法追究相关责任人的责任</w:t>
      </w:r>
      <w:r>
        <w:rPr>
          <w:rFonts w:hint="eastAsia" w:ascii="仿宋" w:hAnsi="仿宋" w:eastAsia="仿宋"/>
          <w:color w:val="000000"/>
          <w:sz w:val="32"/>
          <w:szCs w:val="32"/>
        </w:rPr>
        <w:t>，</w:t>
      </w:r>
      <w:r>
        <w:rPr>
          <w:rFonts w:hint="eastAsia" w:ascii="仿宋" w:hAnsi="仿宋" w:eastAsia="仿宋" w:cs="仿宋"/>
          <w:color w:val="000000"/>
          <w:sz w:val="32"/>
          <w:szCs w:val="32"/>
        </w:rPr>
        <w:t>五年内停止其申报专项资金资格，并</w:t>
      </w:r>
      <w:r>
        <w:rPr>
          <w:rFonts w:hint="eastAsia" w:ascii="仿宋" w:hAnsi="仿宋" w:eastAsia="仿宋" w:cs="仿宋"/>
          <w:color w:val="000000"/>
          <w:sz w:val="32"/>
          <w:szCs w:val="32"/>
          <w:lang w:eastAsia="zh-CN"/>
        </w:rPr>
        <w:t>依法记入公共信用信息平台</w:t>
      </w:r>
      <w:r>
        <w:rPr>
          <w:rFonts w:hint="eastAsia" w:ascii="仿宋" w:hAnsi="仿宋" w:eastAsia="仿宋" w:cs="仿宋"/>
          <w:color w:val="000000"/>
          <w:sz w:val="32"/>
          <w:szCs w:val="32"/>
        </w:rPr>
        <w:t>。</w:t>
      </w:r>
    </w:p>
    <w:p>
      <w:pPr>
        <w:keepNext w:val="0"/>
        <w:keepLines w:val="0"/>
        <w:pageBreakBefore w:val="0"/>
        <w:kinsoku/>
        <w:wordWrap/>
        <w:overflowPunct/>
        <w:topLinePunct w:val="0"/>
        <w:bidi w:val="0"/>
        <w:snapToGrid/>
        <w:spacing w:line="560" w:lineRule="exact"/>
        <w:textAlignment w:val="auto"/>
        <w:rPr>
          <w:rFonts w:hint="eastAsia" w:ascii="仿宋" w:hAnsi="仿宋" w:eastAsia="仿宋"/>
          <w:color w:val="000000"/>
          <w:sz w:val="32"/>
          <w:szCs w:val="32"/>
        </w:rPr>
      </w:pPr>
    </w:p>
    <w:p>
      <w:pPr>
        <w:keepNext w:val="0"/>
        <w:keepLines w:val="0"/>
        <w:pageBreakBefore w:val="0"/>
        <w:numPr>
          <w:ilvl w:val="0"/>
          <w:numId w:val="2"/>
        </w:numPr>
        <w:kinsoku/>
        <w:wordWrap/>
        <w:overflowPunct/>
        <w:topLinePunct w:val="0"/>
        <w:bidi w:val="0"/>
        <w:snapToGrid/>
        <w:spacing w:line="560"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 附则</w:t>
      </w:r>
    </w:p>
    <w:p>
      <w:pPr>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楷体" w:hAnsi="楷体" w:eastAsia="楷体" w:cs="楷体"/>
          <w:b/>
          <w:bCs/>
          <w:color w:val="000000"/>
          <w:sz w:val="32"/>
          <w:szCs w:val="32"/>
        </w:rPr>
      </w:pP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 w:hAnsi="仿宋" w:eastAsia="仿宋"/>
          <w:color w:val="000000"/>
          <w:sz w:val="32"/>
          <w:szCs w:val="32"/>
        </w:rPr>
      </w:pPr>
      <w:r>
        <w:rPr>
          <w:rFonts w:ascii="仿宋" w:hAnsi="仿宋" w:eastAsia="仿宋"/>
          <w:b/>
          <w:bCs/>
          <w:color w:val="000000"/>
          <w:sz w:val="32"/>
          <w:szCs w:val="32"/>
        </w:rPr>
        <w:t>第十</w:t>
      </w:r>
      <w:r>
        <w:rPr>
          <w:rFonts w:hint="eastAsia" w:ascii="仿宋" w:hAnsi="仿宋" w:eastAsia="仿宋"/>
          <w:b/>
          <w:bCs/>
          <w:color w:val="000000"/>
          <w:sz w:val="32"/>
          <w:szCs w:val="32"/>
          <w:lang w:eastAsia="zh-CN"/>
        </w:rPr>
        <w:t>六</w:t>
      </w:r>
      <w:r>
        <w:rPr>
          <w:rFonts w:ascii="仿宋" w:hAnsi="仿宋" w:eastAsia="仿宋"/>
          <w:b/>
          <w:bCs/>
          <w:color w:val="000000"/>
          <w:sz w:val="32"/>
          <w:szCs w:val="32"/>
        </w:rPr>
        <w:t>条</w:t>
      </w:r>
      <w:r>
        <w:rPr>
          <w:rFonts w:hint="eastAsia" w:ascii="仿宋" w:hAnsi="仿宋" w:eastAsia="仿宋"/>
          <w:b/>
          <w:bCs/>
          <w:color w:val="000000"/>
          <w:sz w:val="32"/>
          <w:szCs w:val="32"/>
        </w:rPr>
        <w:t xml:space="preserve">  </w:t>
      </w:r>
      <w:r>
        <w:rPr>
          <w:rFonts w:hint="eastAsia" w:ascii="仿宋" w:hAnsi="仿宋" w:eastAsia="仿宋"/>
          <w:color w:val="000000"/>
          <w:sz w:val="32"/>
          <w:szCs w:val="32"/>
        </w:rPr>
        <w:t>本办法由福州市教育局负责解释。</w:t>
      </w: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 w:hAnsi="仿宋" w:eastAsia="仿宋"/>
          <w:color w:val="000000"/>
          <w:sz w:val="32"/>
          <w:szCs w:val="32"/>
        </w:rPr>
      </w:pPr>
      <w:r>
        <w:rPr>
          <w:rFonts w:ascii="仿宋" w:hAnsi="仿宋" w:eastAsia="仿宋"/>
          <w:b/>
          <w:bCs/>
          <w:color w:val="000000"/>
          <w:sz w:val="32"/>
          <w:szCs w:val="32"/>
        </w:rPr>
        <w:t>第十</w:t>
      </w:r>
      <w:r>
        <w:rPr>
          <w:rFonts w:hint="eastAsia" w:ascii="仿宋" w:hAnsi="仿宋" w:eastAsia="仿宋"/>
          <w:b/>
          <w:bCs/>
          <w:color w:val="000000"/>
          <w:sz w:val="32"/>
          <w:szCs w:val="32"/>
        </w:rPr>
        <w:t>七</w:t>
      </w:r>
      <w:r>
        <w:rPr>
          <w:rFonts w:ascii="仿宋" w:hAnsi="仿宋" w:eastAsia="仿宋"/>
          <w:b/>
          <w:bCs/>
          <w:color w:val="000000"/>
          <w:sz w:val="32"/>
          <w:szCs w:val="32"/>
        </w:rPr>
        <w:t>条</w:t>
      </w:r>
      <w:r>
        <w:rPr>
          <w:rFonts w:hint="eastAsia" w:ascii="仿宋" w:hAnsi="仿宋" w:eastAsia="仿宋"/>
          <w:color w:val="000000"/>
          <w:sz w:val="32"/>
          <w:szCs w:val="32"/>
        </w:rPr>
        <w:t xml:space="preserve">  </w:t>
      </w:r>
      <w:r>
        <w:rPr>
          <w:rFonts w:ascii="仿宋" w:hAnsi="仿宋" w:eastAsia="仿宋"/>
          <w:color w:val="000000"/>
          <w:sz w:val="32"/>
          <w:szCs w:val="32"/>
        </w:rPr>
        <w:t>本办法自印发之日起施行</w:t>
      </w:r>
      <w:r>
        <w:rPr>
          <w:rFonts w:hint="eastAsia" w:ascii="仿宋" w:hAnsi="仿宋" w:eastAsia="仿宋"/>
          <w:color w:val="00000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703D9E"/>
    <w:multiLevelType w:val="singleLevel"/>
    <w:tmpl w:val="F2703D9E"/>
    <w:lvl w:ilvl="0" w:tentative="0">
      <w:start w:val="1"/>
      <w:numFmt w:val="chineseCounting"/>
      <w:suff w:val="space"/>
      <w:lvlText w:val="第%1章"/>
      <w:lvlJc w:val="left"/>
      <w:rPr>
        <w:rFonts w:hint="eastAsia"/>
      </w:rPr>
    </w:lvl>
  </w:abstractNum>
  <w:abstractNum w:abstractNumId="1">
    <w:nsid w:val="30680789"/>
    <w:multiLevelType w:val="singleLevel"/>
    <w:tmpl w:val="30680789"/>
    <w:lvl w:ilvl="0" w:tentative="0">
      <w:start w:val="1"/>
      <w:numFmt w:val="chineseCounting"/>
      <w:suff w:val="nothing"/>
      <w:lvlText w:val="（%1）"/>
      <w:lvlJc w:val="left"/>
      <w:rPr>
        <w:rFonts w:hint="eastAsia"/>
      </w:rPr>
    </w:lvl>
  </w:abstractNum>
  <w:abstractNum w:abstractNumId="2">
    <w:nsid w:val="4F7AC201"/>
    <w:multiLevelType w:val="singleLevel"/>
    <w:tmpl w:val="4F7AC201"/>
    <w:lvl w:ilvl="0" w:tentative="0">
      <w:start w:val="1"/>
      <w:numFmt w:val="chineseCounting"/>
      <w:suff w:val="space"/>
      <w:lvlText w:val="第%1章"/>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lODI5ZTQzZTQ3YjNlNmUyNDg5Y2RkYTJmYzRiMzUifQ=="/>
  </w:docVars>
  <w:rsids>
    <w:rsidRoot w:val="1440756F"/>
    <w:rsid w:val="1440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widowControl w:val="0"/>
      <w:spacing w:after="120"/>
      <w:ind w:firstLine="420" w:firstLineChars="100"/>
      <w:jc w:val="both"/>
    </w:pPr>
    <w:rPr>
      <w:rFonts w:ascii="Calibri" w:hAnsi="Calibri" w:eastAsia="宋体" w:cs="Times New Roman"/>
      <w:kern w:val="0"/>
      <w:sz w:val="20"/>
      <w:szCs w:val="20"/>
      <w:lang w:val="en-US" w:eastAsia="zh-CN" w:bidi="ar-SA"/>
    </w:rPr>
  </w:style>
  <w:style w:type="paragraph" w:styleId="3">
    <w:name w:val="Body Text"/>
    <w:basedOn w:val="1"/>
    <w:uiPriority w:val="0"/>
    <w:pPr>
      <w:widowControl w:val="0"/>
      <w:spacing w:after="12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2022-11-23T06:56:00Z</dcterms:created>
  <dc:creator>薛珉</dc:creator>
  <cp:lastModifiedBy>薛珉</cp:lastModifiedBy>
  <dcterms:modified xsi:type="dcterms:W3CDTF">2022-11-23T06:58:03Z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C0914794B0584DACA18CE97154E7B365</vt:lpwstr>
  </property>
</Properties>
</file>