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eastAsia="zh-CN"/>
        </w:rPr>
      </w:pPr>
      <w:bookmarkStart w:id="1" w:name="_GoBack"/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福州市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2020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初中毕业升学体育考试工作方案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2" w:firstLineChars="21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考试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2" w:firstLineChars="21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福州市所有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符合中考报名条件的考生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（含应届生、往届生、回原籍考生）。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56" w:firstLineChars="205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1" w:firstLineChars="20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1.成立“福州市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初中毕业升学体育考试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工作领导小组（见附件1）”和巡视监督小组、仲裁工作组。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56" w:firstLineChars="20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2.各县（市）区教育局要成立相应领导小组，工作领导小组负责辖区内各考点的组织管理，协调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卫健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、公安、电力等部门做好中招体育考试的各项保障工作；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巡视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监督小组负责监督检查考试过程及考试现场管理情况；仲裁工作组负责处理体育考试过程中产生的争议事项。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56" w:firstLineChars="20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3.全市设总主考一人，副总主考若干人，考务人员若干人；设总巡视一人，副总巡视若干人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向每个考点派驻巡视员一至二人。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56" w:firstLineChars="20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4.考区：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鼓楼区、台江区、仓山区、晋安区、马尾区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省、市属有关学校由福州市教育局统一设定考区，组织实施。其它县（市）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按行政区域设定考区，自行组织。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高新区由闽侯县组织实施。各考区于3月30日前将组织实施方案报市教育局体卫艺语处。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56" w:firstLineChars="20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各考区内所有考点的考务均由各考区组织和管理，设考区主考一人，副主考若干人，考务人员若干人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三、实施程序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鼓楼区、台江区、仓山区、晋安区、马尾区及省、市属有关学校由市教育局统一组织，按照以下要求执行。其它县（市）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参照执行。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四、考试时间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1.鼓楼区、台江区、仓山区、晋安区、马尾区及省、市属有关学校考试时间为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2020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年4月1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日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val="en-US" w:eastAsia="zh-CN"/>
        </w:rPr>
        <w:t>-30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日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（含游泳项目）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56" w:firstLineChars="20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2.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鼓楼区、台江区、仓山区、晋安区、马尾区及省、市属有关学校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缓考的考生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回原籍考生、往届生考试时间为5月1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56" w:firstLineChars="20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长乐区考试时间须与城区同步完成，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其他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县（市）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区初中毕业升学体育考试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需在6月1日前完成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五、考试地点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福建省奥林匹克体育中心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田径场（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游泳项目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设在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福建省奥林匹克体育中心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游泳馆附馆）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56" w:firstLineChars="20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六、考试项目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56" w:firstLineChars="20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升学体育考试项目共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必考类中选一项，运动技能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选考类中选一项，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身体素质选考类中选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必考类：1000米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（男）、800米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（女）或200米游泳（泳姿不限）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按性别从2个选项中自选1项考试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选考项目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一：足球(运球绕杆)\篮球(运球绕杆往返)\排球（连续垫球），考生从3个选考项目中自选1项考试。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56" w:firstLineChars="20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选考项目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二：50米跑\立定跳远\一分钟跳绳\引体向上（男生）\斜身引体（女生）\双手头上前掷实心球\一分钟仰卧起坐，考生按性别从6个选考项目中自选2项考试。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七、计分办法与评分标准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初中毕业升学体育考试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投档计分方式为分数制，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项考试成绩总分为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0分，其中必考类满分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分，选考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球类项目满分为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6分，选考身体素质类共2项，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每项满分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。根据中招细则计分办法，考试成绩得分相加后保留小数点后一位数为最后得分，小数点后一位数计算方法为：小数点后的数字小于0.25分（不含0.25分）不予计算；大于或等于0.25分，小于0.75分，计为0.5分；大于或等于0.75分，计为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年福州市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初中毕业升学体育考试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评分标准（见附件2）。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3.凡无故缺考的项目，该项目以0分计算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，为增加考试工作的透明度，考生每项考试结束后考务人员当场向考生宣布成绩。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56" w:firstLineChars="205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、考试报名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56" w:firstLineChars="20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应届生报名以学校为单位，填报福州市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年初中毕业升学体育考试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（项目）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报名表（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附件3），并通过福州市中招网报名，报名时间为3月下旬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56" w:firstLineChars="20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往届生、回原籍考生的报名由考生到户口所属县（市）区中招办报名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并参加考试（即中考考试报名所在地区）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。往届生、回原籍考生升学体育考试组织及管理要求与应届生一致。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鼓楼区、台江区、仓山区、晋安区、马尾区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省、市属学校的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体育免考申请为4月上旬（具体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时间和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要求另文通知，并在福州市中招网公布）。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4.考生准考证需统一使用激光打印机进行打印，纸张采用A4（70g），避免因条形码打印模糊等原因影响考务工作。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5.考生应及时核对考试报名信息，并于4月12日前确认考试项目。如与报名信息有误需由学校提出申请，市中招办、市教育局体卫艺语处审核同意后方可予以更改，逾期不予更改。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56" w:firstLineChars="205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、免考、缓考有关规定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（一）免考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1.申请对象：身体残疾、丧失运动能力或患有严重疾病以及患不适合剧烈运动疾病的考生。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2.申请材料：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（1）身体残疾、持有残疾证考生：①身份证（户口簿）原件及复印件；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②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免考申请表;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③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残疾证原件及复印件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（2）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患有严重疾病以及患不适合剧烈运动疾病的考生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①身份证（户口簿）原件及复印件；②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免考申请表;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③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二级以上综合医院疾病证明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原件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;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④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近三年病历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原件及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复印件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、医院检查报告单。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以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材料由考生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根据实际情况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提供，并注明考生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学籍号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、姓名等信息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申请程序：由考生填写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免考申请表，经家长、班主任签字，学校审核，并在考生所在班级公示三天无异议后，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鼓楼、台江、仓山、晋安、马尾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区属学校考生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由所属区教育局初审，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免考申请表加盖区教育局公章后报市教育局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，由市教育局组织医务专业人员统一审核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省、市属有关学校加盖学校公章后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报市教育局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，由市教育局组织医务专业人员统一审核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4.计分方法：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身体残疾、丧失运动能力，具有残疾证的免考生，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考生成绩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以当年参加初中毕业升学体育考试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（不含缺考、免考的考生）成绩的平均分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中招细则计分办法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保留小数点后一位数计算。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患有严重疾病以及患不适合剧烈运动疾病的免考生，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考生成绩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以当年参加初中毕业升学体育考试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考生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（不含缺考、免考的考生）成绩的平均分的80%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中招细则计分办法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保留小数点后一位数计算。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（二）缓考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1.申请对象：进入考场前因临时伤、病（含女生生理期），不能按时参加体育考试的考生。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2.申请材料：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（1）缓考申请表（见附件5）；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二级以上综合医院疾病证明、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原始病历及医院检验报告单；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（3）女生生理期由学校出具证明；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3.申请程序：由考生填写缓考申请表，经家长、班主任签字，向学校提出申请，由学校报市教育局备案。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正式考试当天,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考生出现临时伤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、病无法参加考试,考生需及时向学校报告,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由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学校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向考点主考报告，并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于考试结束次日收齐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该生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缓考申请材料向市教育局报备,作缓考处理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，否则按缺考处理。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2" w:firstLineChars="21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4.其它事项：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2" w:firstLineChars="21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（1）在体育考试过程中，原则上不得申请缓考，考生中途无故退出视为弃考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，弃考项目按缺考处理。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缓考只设置一次，缓考考生考试与往届生考试同时进行。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2" w:firstLineChars="21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（2）若考试现场考生出现身体异常状况或受伤，无法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继续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完成考试,经现场医疗队伍确诊，由现场主考做出判断，作缓考处理，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（除游泳项目）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成绩无效，以缓考成绩为准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，缓考不更改考试项目。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2" w:firstLineChars="21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若只申请游泳缓考，其他三项已考有成绩并确认的，缓考只考游泳；如果游泳考试已考有成绩并确认，其他三项申请缓考的，不用再参加游泳考试。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）在缓考当天或缓考考试过程中，考生确实因身体原因无法参加或完成全部考试，经现场医疗团队和仲裁工作组、巡视小组审核确认，按免考处理。考生成绩以当年参加初中毕业升学体育考试考生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（不含缺考、免考的考生）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成绩的平均分的60%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中招细则计分办法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保留小数点后一位数计算。缓考当天因身体原因无法参加考试的考生，原则上本人须到考场审核确认；特殊原因无法到现场的，由学校报备至考场检录组，当天未报备的一律按缺考处理。申请免考的考生按照免考申请程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填写免考申请表，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并提供相关材料，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经家长、班主任签字，学校审核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盖章后由仲裁工作组报主考教育行政部门备案。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缓考结束后不再受理其他免考申请。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（5）各校考试结束后，需安排人员及时核对考生是否完成考试，若有学生漏考应立即报告考场主考。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56" w:firstLineChars="205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十、安全工作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56" w:firstLineChars="20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1.各县（市）区、高新区教育行政部门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省、市属各校要把学生安全、健康放在第一位，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布置学生完成课外体育作业。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加强组织领导，积极做好宣传，落实体育考试安全工作责任制，制定应急工作预案，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组织学生签订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福州市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毕业升学体育考试安全承诺书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提高安全防范意识，落实安全防范措施，加强后勤保障，确保体育考试工作稳妥进行。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56" w:firstLineChars="20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2. 各县（市）区、高新区教育行政部门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省、市属各校要加强对学生的年度常规体检，特别是加强对学生心肺功能的检查，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严禁考生在考前服用兴奋剂类饮用品及药品，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科学地指导学生进行锻炼，教育学生在报名时应实事求是，既不隐瞒病史也不虚报疾病，切实消除安全隐患。考前需由考生家长、学校签署安全责任书（仅供参考，见附件6）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，尤其是考前一周内，应加强学生考前安全教育和心理辅导工作，加强科学锻炼的宣传工作，进一步确定学生身体健康符合体育考试强度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56" w:firstLineChars="20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3.各县（市）区、高新区教育行政部门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省、市属各校要加强对考生、考务人员的安全教育和体育设施的安全检查与管理，坚决杜绝因管理不到位而发生安全事故。考点需设医疗点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并有明显的标识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（具体要求见附件7），并为学生提供饮用水等。在体育考试期间需校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长或分管校长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带队，注意交通安全，加强考场医疗保护措施，消除一切安全隐患，防止伤害事故的发生。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56" w:firstLineChars="20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4.体育中考期间，如遇气象风球信号橙色以上（橙色、红色、黑色），当天体育考试自动停止，并停止一切户外活动，当天参加考试学校待考试日程全部结束后顺延安排考试时间，以此类推。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56" w:firstLineChars="20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5.为确保考生考试期间安全，各校需统一租赁车辆，组织学生前往考试地点，县（区）市学校须为考生统一购买考试期间的意外伤害险。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56" w:firstLineChars="20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6.各校带队教师需在考试现场向考务组递交本校基本情况报告，报告内容应包括安全承诺书签署情况，实考、缺考、病免、缓考情况等。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56" w:firstLineChars="205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十一、其他工作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56" w:firstLineChars="20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各县（市）区要选派遵纪守法、作风正派、认真负责、熟悉业务的人员组成考务组，并对考务人员进行岗前培训。考试区域实行全封闭，所有考务人员一律带牌上岗。考试封闭区域内的通讯交流一律使用考点统一提供的专用对讲机，禁止任何人员使用手机或自带无线电通讯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6" w:firstLineChars="20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2.各考点门口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醒目位置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要悬挂“福州市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初中毕业升学体育考试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ⅹⅹⅹ考点”横幅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，并按照福州市初中毕业升学体育考试标准化考点要求（见附件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）做好场地准备工作。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考生凭准考证入场，送考教师不得进入考试现场。学校要教育学生在考试过程中必须服从考场工作人员的统一指挥。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6" w:firstLineChars="20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.各校根据统一考试的安排，组织学生提早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0分钟到达体育统一考试地点报到，分别按男、女考生30人一组编好顺序参加测试，并组织考生做好充分的准备活动。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6" w:firstLineChars="20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.严格体育考试的巡视监督。统一考试期间，各巡视监督小组要对各县（市）区考点进行监督管理，坚决杜绝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考务人员在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测试工作中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参与舞弊或为考生提供舞弊条件，严禁利用参与考试工作的便利索贿、受贿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，考生和家长有权直接向区或市体育考试领导小组反映，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如违反者，按《国家教育考试违规处理办法》（教育部令第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33号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）处理。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考试期间，市教育局设立举报电话：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83336611、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83312694。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6" w:firstLineChars="20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.建立体育考试仲裁制度。由资深体育教师、国家级裁判和市教育研究院体育教研员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等相关人员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组成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体育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考试仲裁工作组，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>负责对考试实施过程中的争议事件进行仲裁。考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生对体育考试有异议的，应在考试现场向考官反映或体育测试结束5日内向仲裁工作组提交书面申请，由仲裁工作组依据有关规定予以仲裁，逾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6" w:firstLineChars="20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.各有关单位要坚持公正、公平、公开原则，端正考风，严肃纪律，坚决排除不正之风的干扰，对违规人员视情节严重，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给予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党纪、国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处分，必要时，移送司法机关追究其刑事责任。各级教育行政部门均要设举报电话，并向社会公布。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6" w:firstLineChars="20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.考试安排如有调整，将在福州市中招网公布。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6" w:firstLineChars="205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十二、经费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1.体育升学考试报名费按省物价局、省财政厅《关于调整初中毕业生升学考试报名费收费标准的复函》（闽价费[2017] 3号）文件精神和省教育厅闽教办财[2012]23号文件规定标准执行。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鼓楼区、台江区、仓山区、晋安区、马尾区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省市属学校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以校为单位于体育升学考试前应将体育报考费缴交到市中招办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收费通知将另文下发。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3.其他县（市）区学校以校为单位将体育报考费缴交到县（市）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中招办账户。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1.福州市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年初中毕业升学体育考试工作领导小组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2.福州市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年初中升学体育考试评分标准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3.福州市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年初中毕业升学体育考试（项目）报名表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4.福州市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年初中毕业升学体育考试免考申请表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5.福州市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年初中毕业升学体育考试缓考申请表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6.福州市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年初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毕业升学体育考试安全承诺书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7.福州市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初中毕业升学体育考试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标准化考点要求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附件1：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福州市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eastAsia="zh-CN"/>
        </w:rPr>
        <w:t>2020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年初中毕业升学体育考试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工作领导小组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为加强福州市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年初中毕业升学体育考试工作的领导，经研究成立</w:t>
      </w:r>
      <w:bookmarkStart w:id="0" w:name="OLE_LINK7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年初中毕业升学体育考试工作领导小组</w:t>
      </w:r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，组成人员名单如下：</w:t>
      </w:r>
    </w:p>
    <w:p>
      <w:pPr>
        <w:spacing w:line="520" w:lineRule="exact"/>
        <w:ind w:firstLine="656" w:firstLineChars="20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  长：唐  希（市委教育工委书记、福州市教育局党组书记、局长）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（福州市公安局副局长）</w:t>
      </w:r>
    </w:p>
    <w:p>
      <w:pPr>
        <w:spacing w:line="520" w:lineRule="exact"/>
        <w:ind w:firstLine="1929" w:firstLineChars="60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念  琪（福州市教育局副局长）</w:t>
      </w:r>
    </w:p>
    <w:p>
      <w:pPr>
        <w:spacing w:line="520" w:lineRule="exact"/>
        <w:ind w:firstLine="1929" w:firstLineChars="603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eastAsia="zh-CN"/>
        </w:rPr>
        <w:t>陆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涵</w:t>
      </w:r>
      <w:r>
        <w:rPr>
          <w:rFonts w:hint="eastAsia" w:ascii="仿宋_GB2312" w:hAnsi="仿宋_GB2312" w:eastAsia="仿宋_GB2312"/>
          <w:color w:val="auto"/>
          <w:sz w:val="32"/>
        </w:rPr>
        <w:t>（福州市卫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健</w:t>
      </w:r>
      <w:r>
        <w:rPr>
          <w:rFonts w:hint="eastAsia" w:ascii="仿宋_GB2312" w:hAnsi="仿宋_GB2312" w:eastAsia="仿宋_GB2312"/>
          <w:color w:val="auto"/>
          <w:sz w:val="32"/>
        </w:rPr>
        <w:t>委副主任）</w:t>
      </w:r>
    </w:p>
    <w:p>
      <w:pPr>
        <w:spacing w:line="520" w:lineRule="exact"/>
        <w:ind w:firstLine="1929" w:firstLineChars="603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邵东生（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福州市教育局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副局长）</w:t>
      </w:r>
    </w:p>
    <w:p>
      <w:pPr>
        <w:spacing w:line="520" w:lineRule="exact"/>
        <w:ind w:firstLine="656" w:firstLineChars="205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肖祥艳（福州市教育局副调研员）</w:t>
      </w:r>
    </w:p>
    <w:p>
      <w:pPr>
        <w:spacing w:line="520" w:lineRule="exact"/>
        <w:ind w:firstLine="1929" w:firstLineChars="603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</w:rPr>
        <w:t>陈  斌（市供电公司副总经理）</w:t>
      </w:r>
    </w:p>
    <w:p>
      <w:pPr>
        <w:spacing w:line="520" w:lineRule="exact"/>
        <w:ind w:firstLine="672" w:firstLineChars="21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  员：翁  晖（鼓楼区教育局局长）</w:t>
      </w:r>
    </w:p>
    <w:p>
      <w:pPr>
        <w:spacing w:line="520" w:lineRule="exact"/>
        <w:ind w:firstLine="1948" w:firstLineChars="60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（台江区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教育局局长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spacing w:line="520" w:lineRule="exact"/>
        <w:ind w:firstLine="1948" w:firstLineChars="60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陈树仁（仓山区教育局局长）</w:t>
      </w:r>
    </w:p>
    <w:p>
      <w:pPr>
        <w:spacing w:line="48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杨佳松（晋安区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教育局局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长）</w:t>
      </w:r>
    </w:p>
    <w:p>
      <w:pPr>
        <w:spacing w:line="480" w:lineRule="exact"/>
        <w:ind w:firstLine="1971" w:firstLineChars="6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赖泽铭（马尾区教育局局长）</w:t>
      </w:r>
    </w:p>
    <w:p>
      <w:pPr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林庆龙（长乐区教育局局长）</w:t>
      </w:r>
    </w:p>
    <w:p>
      <w:pPr>
        <w:spacing w:line="48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王豪杰（福清市教育局局长）</w:t>
      </w:r>
    </w:p>
    <w:p>
      <w:pPr>
        <w:spacing w:line="48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谢林生（闽侯县教育局局长）</w:t>
      </w:r>
    </w:p>
    <w:p>
      <w:pPr>
        <w:spacing w:line="480" w:lineRule="exact"/>
        <w:ind w:firstLine="1939" w:firstLineChars="60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倪锦平（连江县教育局局长）</w:t>
      </w:r>
    </w:p>
    <w:p>
      <w:pPr>
        <w:spacing w:line="480" w:lineRule="exact"/>
        <w:ind w:firstLine="1939" w:firstLineChars="60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  强（闽清县教育局局长）</w:t>
      </w:r>
    </w:p>
    <w:p>
      <w:pPr>
        <w:spacing w:line="480" w:lineRule="exact"/>
        <w:ind w:firstLine="1939" w:firstLineChars="60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黄乃通（罗源县教育局局长）</w:t>
      </w:r>
    </w:p>
    <w:p>
      <w:pPr>
        <w:spacing w:line="48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黄绍川（永泰县教育局局长）</w:t>
      </w:r>
    </w:p>
    <w:p>
      <w:pPr>
        <w:spacing w:line="48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林东辉（高新区社会事业管理局局长）</w:t>
      </w:r>
    </w:p>
    <w:p>
      <w:pPr>
        <w:spacing w:line="48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（市教育局中教处处长）</w:t>
      </w:r>
    </w:p>
    <w:p>
      <w:pPr>
        <w:spacing w:line="48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苏夏铃（市教育局体卫艺语处处长）</w:t>
      </w:r>
    </w:p>
    <w:p>
      <w:pPr>
        <w:spacing w:line="48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  菁（市教育局会考办主任）</w:t>
      </w:r>
    </w:p>
    <w:p>
      <w:pPr>
        <w:spacing w:line="48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福州市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eastAsia="zh-CN"/>
        </w:rPr>
        <w:t>2020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年初中毕业升学体育考试</w:t>
      </w:r>
    </w:p>
    <w:p>
      <w:pPr>
        <w:spacing w:line="480" w:lineRule="exact"/>
        <w:ind w:firstLine="2530" w:firstLineChars="7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eastAsia="zh-CN"/>
        </w:rPr>
        <w:t>安全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工作领导小组</w:t>
      </w:r>
    </w:p>
    <w:p>
      <w:pPr>
        <w:spacing w:line="480" w:lineRule="exact"/>
        <w:ind w:firstLine="1920" w:firstLineChars="6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长：洪海山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（市教育局学安处副处长）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姚  旭  张其榕   高世峰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各校负责安全工作负责人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</w:t>
      </w:r>
    </w:p>
    <w:p>
      <w:pPr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41" w:right="1587" w:bottom="1587" w:left="1701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 w:bidi="ar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 w:bidi="ar"/>
        </w:rPr>
        <w:t>2：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44"/>
          <w:szCs w:val="44"/>
          <w:lang w:bidi="ar"/>
        </w:rPr>
        <w:t>福州市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44"/>
          <w:szCs w:val="44"/>
          <w:lang w:eastAsia="zh-CN" w:bidi="ar"/>
        </w:rPr>
        <w:t>2020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44"/>
          <w:szCs w:val="44"/>
          <w:lang w:bidi="ar"/>
        </w:rPr>
        <w:t>年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44"/>
          <w:szCs w:val="44"/>
          <w:lang w:eastAsia="zh-CN" w:bidi="ar"/>
        </w:rPr>
        <w:t>初中毕业升学体育考试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44"/>
          <w:szCs w:val="44"/>
          <w:lang w:bidi="ar"/>
        </w:rPr>
        <w:t>评分表（男生）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"/>
        <w:gridCol w:w="1232"/>
        <w:gridCol w:w="1236"/>
        <w:gridCol w:w="929"/>
        <w:gridCol w:w="1048"/>
        <w:gridCol w:w="1048"/>
        <w:gridCol w:w="1048"/>
        <w:gridCol w:w="874"/>
        <w:gridCol w:w="996"/>
        <w:gridCol w:w="1133"/>
        <w:gridCol w:w="1233"/>
        <w:gridCol w:w="1101"/>
        <w:gridCol w:w="1048"/>
        <w:gridCol w:w="1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7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必考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得分</w:t>
            </w:r>
          </w:p>
        </w:tc>
        <w:tc>
          <w:tcPr>
            <w:tcW w:w="2468" w:type="dxa"/>
            <w:gridSpan w:val="2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必考项</w:t>
            </w:r>
          </w:p>
        </w:tc>
        <w:tc>
          <w:tcPr>
            <w:tcW w:w="92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选考（一）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3144" w:type="dxa"/>
            <w:gridSpan w:val="3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选考项目一</w:t>
            </w:r>
          </w:p>
        </w:tc>
        <w:tc>
          <w:tcPr>
            <w:tcW w:w="87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选考（二）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6848" w:type="dxa"/>
            <w:gridSpan w:val="6"/>
            <w:tcBorders>
              <w:top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选考项目二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9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Ansi="宋体"/>
                <w:color w:val="auto"/>
                <w:lang w:val="en-US" w:eastAsia="zh-CN" w:bidi="ar"/>
              </w:rPr>
            </w:pPr>
            <w:r>
              <w:rPr>
                <w:rStyle w:val="7"/>
                <w:rFonts w:hAnsi="宋体"/>
                <w:color w:val="auto"/>
                <w:lang w:val="en-US" w:eastAsia="zh-CN" w:bidi="ar"/>
              </w:rPr>
              <w:t>1000米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color w:val="auto"/>
                <w:lang w:val="en-US" w:eastAsia="zh-CN" w:bidi="ar"/>
              </w:rPr>
              <w:t>（分:秒）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200米游泳（分:秒）</w:t>
            </w:r>
          </w:p>
        </w:tc>
        <w:tc>
          <w:tcPr>
            <w:tcW w:w="92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足球运球（秒）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篮球运球（秒）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排球垫球（次）</w:t>
            </w:r>
          </w:p>
        </w:tc>
        <w:tc>
          <w:tcPr>
            <w:tcW w:w="87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（秒）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立定跳远（厘米）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一分钟跳绳（次）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引体向上（次）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前掷实心球（米）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一分钟仰卧起坐（次）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16.0 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3:40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5:00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6.0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9.3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13.3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7.1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15.2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3:50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5:12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5.7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9.6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13.6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8.6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7.2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10.3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14.4 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4:00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5:24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5.4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9.9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13.9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8.2 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7.3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9.6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13.6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4:10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5:36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10.2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14.2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7.8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7.4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8.9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12.8 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4:20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5:48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10.5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14.5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7.4 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7.6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8.2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4:30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6:00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10.8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14.8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6.9 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7.8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7.5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11.2 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4:40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6:12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11.1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15.1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6.4 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6.8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10.4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4:50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6:24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3.9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11.4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15.4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5.9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8.2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6.1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9.6 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5:00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6:36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11.7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15.9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5.4 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8.5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8.8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5:10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6:48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16.4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4.9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8.8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5:20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7:00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12.3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16.9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9.1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7.2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5:30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7:12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12.6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17.4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3.9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9.4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6.4 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5:40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7:24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12.9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17.9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9.6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5.6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5:50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7:36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13.2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18.4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2.9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9.8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6:00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7:48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13.5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19.2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6:05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8:00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13.8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10.2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3.3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6:10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8:12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14.1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10.4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2.4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6:15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8:24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14.4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1.2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10.6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6:20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8:36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14.7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0.8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6:25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8:48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15.0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0.4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44"/>
          <w:szCs w:val="44"/>
          <w:lang w:bidi="ar"/>
        </w:rPr>
        <w:t>福州市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44"/>
          <w:szCs w:val="44"/>
          <w:lang w:eastAsia="zh-CN" w:bidi="ar"/>
        </w:rPr>
        <w:t>2020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44"/>
          <w:szCs w:val="44"/>
          <w:lang w:bidi="ar"/>
        </w:rPr>
        <w:t>年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44"/>
          <w:szCs w:val="44"/>
          <w:lang w:eastAsia="zh-CN" w:bidi="ar"/>
        </w:rPr>
        <w:t>初中毕业升学体育考试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44"/>
          <w:szCs w:val="44"/>
          <w:lang w:bidi="ar"/>
        </w:rPr>
        <w:t>评分表（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44"/>
          <w:szCs w:val="44"/>
          <w:lang w:eastAsia="zh-CN" w:bidi="ar"/>
        </w:rPr>
        <w:t>女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44"/>
          <w:szCs w:val="44"/>
          <w:lang w:bidi="ar"/>
        </w:rPr>
        <w:t>生）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"/>
        <w:gridCol w:w="1232"/>
        <w:gridCol w:w="1236"/>
        <w:gridCol w:w="929"/>
        <w:gridCol w:w="1048"/>
        <w:gridCol w:w="1048"/>
        <w:gridCol w:w="1048"/>
        <w:gridCol w:w="874"/>
        <w:gridCol w:w="996"/>
        <w:gridCol w:w="1166"/>
        <w:gridCol w:w="1253"/>
        <w:gridCol w:w="1048"/>
        <w:gridCol w:w="1048"/>
        <w:gridCol w:w="1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7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必考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得分</w:t>
            </w:r>
          </w:p>
        </w:tc>
        <w:tc>
          <w:tcPr>
            <w:tcW w:w="2468" w:type="dxa"/>
            <w:gridSpan w:val="2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必考项</w:t>
            </w:r>
          </w:p>
        </w:tc>
        <w:tc>
          <w:tcPr>
            <w:tcW w:w="92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选考（一）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3144" w:type="dxa"/>
            <w:gridSpan w:val="3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选考项目一</w:t>
            </w:r>
          </w:p>
        </w:tc>
        <w:tc>
          <w:tcPr>
            <w:tcW w:w="87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选考（二）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6848" w:type="dxa"/>
            <w:gridSpan w:val="6"/>
            <w:tcBorders>
              <w:top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选考项目二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9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800米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（分:秒）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200米游泳（分:秒）</w:t>
            </w:r>
          </w:p>
        </w:tc>
        <w:tc>
          <w:tcPr>
            <w:tcW w:w="92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足球运球（秒）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篮球运球（秒）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排球垫球（次）</w:t>
            </w:r>
          </w:p>
        </w:tc>
        <w:tc>
          <w:tcPr>
            <w:tcW w:w="87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（秒）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立定跳远（厘米）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一分钟跳绳（次）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斜身引体（次）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前掷实心球（米）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一分钟仰卧起坐（次）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16.0 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3:25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5:20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6.0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12.2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15.7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8.2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166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7.8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15.2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3:35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5:32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5.7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12.5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16.1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8.6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8.3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192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7.5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14.4 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3:45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5:44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5.4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12.8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16.5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8.2 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8.4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184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154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7.2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13.6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3:55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5:56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13.1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16.9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7.8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8.5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176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6.9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12.8 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4:05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6:08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13.4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17.3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7.4 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8.7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168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142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6.6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4:15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6:20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4.5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13.7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17.7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6.9 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8.9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162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6.2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11.2 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4:25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6:32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4.2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14.0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18.1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6.4 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9.1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134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10.4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4:35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6:44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3.9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14.3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18.5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5.9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9.3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9.6 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4:45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6:56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14.6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18.9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5.4 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9.6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144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126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8.8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4:50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7:08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14.9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19.4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4.9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9.9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4:55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7:20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15.2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19.9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10.2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7.2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5:00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7:32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15.5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20.4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3.9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10.5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126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6.4 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5:05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7:44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15.8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20.9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5.6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5:10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7:56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16.1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21.4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2.9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11.1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5:15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8:08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16.4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22.2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11.4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4.0 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5:20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8:20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16.7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11.6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2.8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3.2 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5:25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8:32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17.0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11.8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2.4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5:30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8:44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17.3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1.2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5:35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8:56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17.6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12.2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0.8</w:t>
            </w:r>
          </w:p>
        </w:tc>
        <w:tc>
          <w:tcPr>
            <w:tcW w:w="1232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5:40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9:08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1048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17.9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0.4</w:t>
            </w:r>
          </w:p>
        </w:tc>
        <w:tc>
          <w:tcPr>
            <w:tcW w:w="996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12.4 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</w:rPr>
        <w:sectPr>
          <w:pgSz w:w="16838" w:h="11906" w:orient="landscape"/>
          <w:pgMar w:top="1588" w:right="2098" w:bottom="1474" w:left="1361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附件3：</w:t>
      </w:r>
    </w:p>
    <w:tbl>
      <w:tblPr>
        <w:tblStyle w:val="4"/>
        <w:tblpPr w:leftFromText="180" w:rightFromText="180" w:vertAnchor="text" w:horzAnchor="page" w:tblpX="1662" w:tblpY="8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942"/>
        <w:gridCol w:w="785"/>
        <w:gridCol w:w="652"/>
        <w:gridCol w:w="814"/>
        <w:gridCol w:w="83"/>
        <w:gridCol w:w="451"/>
        <w:gridCol w:w="816"/>
        <w:gridCol w:w="969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学 校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姓名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性别</w:t>
            </w:r>
          </w:p>
        </w:tc>
        <w:tc>
          <w:tcPr>
            <w:tcW w:w="5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考号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67" w:type="dxa"/>
            <w:gridSpan w:val="10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既往病史：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4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项 目</w:t>
            </w:r>
          </w:p>
        </w:tc>
        <w:tc>
          <w:tcPr>
            <w:tcW w:w="427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考    试    内    容</w:t>
            </w:r>
          </w:p>
        </w:tc>
        <w:tc>
          <w:tcPr>
            <w:tcW w:w="3651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考生在选择项目后打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4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必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考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类</w:t>
            </w:r>
          </w:p>
        </w:tc>
        <w:tc>
          <w:tcPr>
            <w:tcW w:w="4276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1000米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(男)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800米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(女)</w:t>
            </w: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按性别</w:t>
            </w: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自选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1项</w:t>
            </w: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进行考试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276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200米游泳(泳姿不限)</w:t>
            </w: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选考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项目（一）</w:t>
            </w:r>
          </w:p>
        </w:tc>
        <w:tc>
          <w:tcPr>
            <w:tcW w:w="4276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足球(运球绕杆)</w:t>
            </w: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从3个选考项目中自选1项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进行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276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篮球(运球绕杆往返)</w:t>
            </w: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276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排球（连续垫球）</w:t>
            </w: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选考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项目（二）</w:t>
            </w:r>
          </w:p>
        </w:tc>
        <w:tc>
          <w:tcPr>
            <w:tcW w:w="4276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50米跑</w:t>
            </w: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按性别从6个选考项目中自选2项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进行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276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立定跳远</w:t>
            </w: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276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一分钟跳绳</w:t>
            </w: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276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引体向上（男生）</w:t>
            </w: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276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斜身引体（女生）</w:t>
            </w: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276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双手头上前掷实心球</w:t>
            </w: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276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一分钟仰卧起坐</w:t>
            </w: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67" w:type="dxa"/>
            <w:gridSpan w:val="10"/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我了解孩子身体健康情况，不隐瞒病史也不虚报疾病，适合参加体育考试，并遵守考试纪律，服从带队老师的指挥。</w:t>
            </w:r>
          </w:p>
          <w:p>
            <w:pPr>
              <w:spacing w:line="400" w:lineRule="exact"/>
              <w:ind w:firstLine="6440" w:firstLineChars="230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8867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备注: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1．报名表由学校发给考生自行填报须经家长签字确认方可生效;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2．报名表作为学校统一填报考生考试项目的依据，学校应妥善保管，如有异议以报名表为准。</w:t>
            </w:r>
          </w:p>
        </w:tc>
      </w:tr>
    </w:tbl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福州市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eastAsia="zh-CN"/>
        </w:rPr>
        <w:t>2020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年初中毕业升学体育考试（项目）报名表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6"/>
        </w:rPr>
      </w:pPr>
      <w:r>
        <w:rPr>
          <w:rFonts w:hint="eastAsia" w:ascii="仿宋_GB2312" w:hAnsi="仿宋_GB2312" w:eastAsia="仿宋_GB2312" w:cs="仿宋_GB2312"/>
          <w:color w:val="auto"/>
          <w:szCs w:val="30"/>
        </w:rPr>
        <w:t>附件4：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</w:rPr>
        <w:t>福州市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lang w:eastAsia="zh-CN"/>
        </w:rPr>
        <w:t>2020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</w:rPr>
        <w:t>年初中毕业升学体育考试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</w:rPr>
        <w:t>免考申请表</w:t>
      </w:r>
    </w:p>
    <w:p>
      <w:pPr>
        <w:rPr>
          <w:rFonts w:hint="eastAsia" w:ascii="仿宋_GB2312" w:hAnsi="仿宋_GB2312" w:eastAsia="仿宋_GB2312" w:cs="仿宋_GB2312"/>
          <w:color w:val="auto"/>
          <w:sz w:val="26"/>
        </w:rPr>
      </w:pPr>
      <w:r>
        <w:rPr>
          <w:rFonts w:hint="eastAsia" w:ascii="仿宋_GB2312" w:hAnsi="仿宋_GB2312" w:eastAsia="仿宋_GB2312" w:cs="仿宋_GB2312"/>
          <w:color w:val="auto"/>
          <w:sz w:val="26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26"/>
        </w:rPr>
        <w:t>县（市）区                 学校</w:t>
      </w:r>
      <w:r>
        <w:rPr>
          <w:rFonts w:hint="eastAsia" w:ascii="仿宋_GB2312" w:hAnsi="仿宋_GB2312" w:eastAsia="仿宋_GB2312" w:cs="仿宋_GB2312"/>
          <w:color w:val="auto"/>
          <w:sz w:val="26"/>
          <w:u w:val="single"/>
        </w:rPr>
        <w:t xml:space="preserve">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95"/>
        <w:gridCol w:w="742"/>
        <w:gridCol w:w="658"/>
        <w:gridCol w:w="784"/>
        <w:gridCol w:w="944"/>
        <w:gridCol w:w="1750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姓名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性别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班级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学籍号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lang w:eastAsia="zh-CN"/>
              </w:rPr>
              <w:t>（学籍辅号）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申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请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免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考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原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因</w:t>
            </w:r>
          </w:p>
        </w:tc>
        <w:tc>
          <w:tcPr>
            <w:tcW w:w="77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1.身体残疾□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2.严重疾病□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 xml:space="preserve">         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（在方格打钩并说明原因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医院证明贴后面）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考生签名：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 xml:space="preserve">家长签名：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学校意见：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班主任签名：                    校领导签名：          （学校盖章）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县（市）区教育局意见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主管科室意见：                  局领导签名：        （教育局盖章）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市教育局意见：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成绩认定：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</w:p>
        </w:tc>
      </w:tr>
    </w:tbl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26"/>
        </w:rPr>
      </w:pPr>
      <w:r>
        <w:rPr>
          <w:rFonts w:hint="eastAsia" w:ascii="仿宋_GB2312" w:hAnsi="仿宋_GB2312" w:eastAsia="仿宋_GB2312" w:cs="仿宋_GB2312"/>
          <w:color w:val="auto"/>
          <w:sz w:val="26"/>
        </w:rPr>
        <w:t xml:space="preserve">                                填写日期：      年   月   日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28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附件5：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</w:rPr>
        <w:t>福州市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lang w:eastAsia="zh-CN"/>
        </w:rPr>
        <w:t>2020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</w:rPr>
        <w:t>年初中毕业升学体育考试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sz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</w:rPr>
        <w:t>缓考申请表</w:t>
      </w:r>
    </w:p>
    <w:p>
      <w:pPr>
        <w:rPr>
          <w:rFonts w:hint="eastAsia" w:ascii="仿宋_GB2312" w:hAnsi="仿宋_GB2312" w:eastAsia="仿宋_GB2312" w:cs="仿宋_GB2312"/>
          <w:color w:val="auto"/>
          <w:sz w:val="26"/>
        </w:rPr>
      </w:pPr>
      <w:r>
        <w:rPr>
          <w:rFonts w:hint="eastAsia" w:ascii="仿宋_GB2312" w:hAnsi="仿宋_GB2312" w:eastAsia="仿宋_GB2312" w:cs="仿宋_GB2312"/>
          <w:color w:val="auto"/>
          <w:sz w:val="26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6"/>
        </w:rPr>
        <w:t xml:space="preserve">县（市）区                  </w:t>
      </w:r>
      <w:r>
        <w:rPr>
          <w:rFonts w:hint="eastAsia" w:ascii="仿宋_GB2312" w:hAnsi="仿宋_GB2312" w:eastAsia="仿宋_GB2312" w:cs="仿宋_GB2312"/>
          <w:color w:val="auto"/>
          <w:sz w:val="26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26"/>
        </w:rPr>
        <w:t>学校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"/>
        <w:gridCol w:w="1295"/>
        <w:gridCol w:w="742"/>
        <w:gridCol w:w="658"/>
        <w:gridCol w:w="784"/>
        <w:gridCol w:w="927"/>
        <w:gridCol w:w="1833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姓名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性别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班级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学籍号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  <w:lang w:eastAsia="zh-CN"/>
              </w:rPr>
              <w:t>（学籍辅号）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申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请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缓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考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原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因</w:t>
            </w:r>
          </w:p>
        </w:tc>
        <w:tc>
          <w:tcPr>
            <w:tcW w:w="77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 xml:space="preserve">          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 xml:space="preserve">                                </w:t>
            </w:r>
          </w:p>
          <w:p>
            <w:pPr>
              <w:widowControl/>
              <w:spacing w:line="400" w:lineRule="exact"/>
              <w:ind w:firstLine="390" w:firstLineChars="150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学生签名：                家长签名：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学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校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意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见</w:t>
            </w:r>
          </w:p>
        </w:tc>
        <w:tc>
          <w:tcPr>
            <w:tcW w:w="77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6"/>
              </w:rPr>
              <w:t>班主任签名：           校领导签名：       （学校盖章）</w:t>
            </w:r>
          </w:p>
        </w:tc>
      </w:tr>
    </w:tbl>
    <w:p>
      <w:pPr>
        <w:spacing w:line="520" w:lineRule="exact"/>
        <w:ind w:firstLine="4290" w:firstLineChars="165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26"/>
        </w:rPr>
        <w:t>填写日期：      年   月   日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</w:rPr>
        <w:t>请考生在如下项目中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选择</w:t>
      </w:r>
      <w:r>
        <w:rPr>
          <w:rFonts w:hint="eastAsia" w:ascii="仿宋_GB2312" w:hAnsi="仿宋_GB2312" w:eastAsia="仿宋_GB2312" w:cs="仿宋_GB2312"/>
          <w:color w:val="auto"/>
          <w:sz w:val="32"/>
        </w:rPr>
        <w:t>并打“√”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2"/>
              </w:rPr>
              <w:t>项目一：1000米（男）、800米（女）或200米游泳选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2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2"/>
              </w:rPr>
              <w:t>项目二：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足球(运球绕杆)\篮球(运球绕杆往返)\排球（连续垫球）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2"/>
                <w:lang w:eastAsia="zh-CN"/>
              </w:rPr>
              <w:t>等项目中选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2"/>
                <w:lang w:eastAsia="zh-CN"/>
              </w:rPr>
              <w:t>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2"/>
                <w:lang w:eastAsia="zh-CN"/>
              </w:rPr>
              <w:t>项目三：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2"/>
                <w:lang w:val="en-US" w:eastAsia="zh-CN"/>
              </w:rPr>
              <w:t>50米跑\立定跳远\一分钟跳绳\引体向上（男生）\斜身引体（女生）\双手头上前掷实心球\一分钟仰卧起坐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2"/>
                <w:lang w:eastAsia="zh-CN"/>
              </w:rPr>
              <w:t>等项目中选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22"/>
                <w:lang w:eastAsia="zh-CN"/>
              </w:rPr>
              <w:t>项。</w:t>
            </w:r>
          </w:p>
        </w:tc>
      </w:tr>
    </w:tbl>
    <w:p>
      <w:pPr>
        <w:ind w:firstLine="600"/>
        <w:rPr>
          <w:rFonts w:hint="eastAsia" w:ascii="仿宋_GB2312" w:hAnsi="仿宋_GB2312" w:eastAsia="仿宋_GB2312" w:cs="仿宋_GB2312"/>
          <w:color w:val="auto"/>
          <w:sz w:val="26"/>
        </w:rPr>
      </w:pPr>
      <w:r>
        <w:rPr>
          <w:rFonts w:hint="eastAsia" w:ascii="仿宋_GB2312" w:hAnsi="仿宋_GB2312" w:eastAsia="仿宋_GB2312" w:cs="仿宋_GB2312"/>
          <w:color w:val="auto"/>
          <w:sz w:val="26"/>
        </w:rPr>
        <w:t>学生签名：                家长签名：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附件6：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福州市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eastAsia="zh-CN"/>
        </w:rPr>
        <w:t>2020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年初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eastAsia="zh-CN"/>
        </w:rPr>
        <w:t>中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毕业升学体育考试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安全承诺书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eastAsia="zh-CN"/>
        </w:rPr>
        <w:t>（范本）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尊敬的家长，您好：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我校学生将于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月 日-  日参加在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福建省奥林匹克体育中心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举行的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年福州市初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毕业升学体育考试。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请家长为参加考试的孩子准备好联系方式、准考证（务必检查好）以及运动服装。应了解孩子身体健康情况，不隐瞒病史也不虚报疾病，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教导考生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遵守考试纪律，服从带队老师的指挥，讲究文明礼貌，遵守交通规则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。教导考生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勤俭节约，重视饮食及饮水卫生，防止食物中毒，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并保持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与老师、家长联系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畅通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，确保安全。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带队教师：          联系电话：                                       </w:t>
      </w:r>
    </w:p>
    <w:p>
      <w:pPr>
        <w:spacing w:line="520" w:lineRule="exact"/>
        <w:ind w:firstLine="6400" w:firstLineChars="20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福州××学校</w:t>
      </w:r>
    </w:p>
    <w:p>
      <w:pPr>
        <w:spacing w:line="520" w:lineRule="exact"/>
        <w:ind w:left="320" w:hanging="320" w:hangingChars="1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月 日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———沿——————线—————剪—————下———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</w:pP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参加福州市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eastAsia="zh-CN"/>
        </w:rPr>
        <w:t>2020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年初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eastAsia="zh-CN"/>
        </w:rPr>
        <w:t>中毕业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升学体育考试的回执</w:t>
      </w:r>
    </w:p>
    <w:p>
      <w:pPr>
        <w:spacing w:line="52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我已详细了解本次考试，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同学身体健康情况良好，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符合考试要求，本人承诺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既不隐瞒病史也不虚报疾病，并遵守考试纪律。我同意孩子参加本次考试，我将认真做好孩子的安全教育工作，叮嘱孩子听从带队老师安排。</w:t>
      </w:r>
    </w:p>
    <w:p>
      <w:pPr>
        <w:spacing w:line="520" w:lineRule="exact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疾病说明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（含近一周疾病情况）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家长：          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月   日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附件7：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</w:rPr>
        <w:t>福州市</w:t>
      </w:r>
      <w:r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lang w:eastAsia="zh-CN"/>
        </w:rPr>
        <w:t>初中毕业升学体育考试</w:t>
      </w:r>
      <w:r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</w:rPr>
        <w:t>标准化考点要求</w:t>
      </w:r>
    </w:p>
    <w:p>
      <w:pPr>
        <w:rPr>
          <w:rFonts w:hint="eastAsia"/>
          <w:color w:val="auto"/>
          <w:sz w:val="28"/>
          <w:szCs w:val="28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一、考点要求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考点所在地交通便利，便于与附件医院建立绿色救助通道。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考点避免设在拥堵地段，防止因堵车造成考生迟到从而导致无法完成当天考试任务。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考点场地符合有关安全要求，不存在消防、地质灾害等安全隐患。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考试场地要求封闭，便于考生管理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。配备数量足够的安保人员和工作人员，做好安全防范，做到环境清洁。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、场地要求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1、田径场要求环形跑道，400米标准塑胶田径场, 考前丈量准确。跑道上标有明显的起、终点线及分道线，直道具有6道及以上道次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2、为保证考试顺利进行与数据安全，要求考点周围500米内无大型无线电设备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3、立定跳远、仰卧起坐、排球垫球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项目，应集中安排考试，便于考生成绩采集与成绩公示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实心球、足球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项目需安排在田径运动场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进行考试。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跳绳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地面要求：光滑水泥地面、木地板、光滑橡胶场地等，跳绳场地要求有电源供电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4、游泳项目要求标准25米或50米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室内恒温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游泳馆，道次要求6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个泳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道以上、水温在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26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℃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5、场地要求排水系统良好，便于雨后能快速投入考试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6、50米跑、耐久跑项目成绩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系统需要外接电源供电。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、电力供应要求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为保障考试顺利进行，所有设备均有备用电源供电，为防止万一，需要所有考试项目场地均有交流电电源供电。考场电压应稳定在210—240V之间。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、其他要求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1、考点需派驻有资质的医护人员（至少两医两护）组成的医疗团队，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医疗点要有明显的标识便于考生识别，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配备常用药品及急救设施设备，同时安排1-2辆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救护车全程保障，确保考试顺利进行。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2、网络环境，要求网络带宽10兆以上且相当稳定，便于数据实时上报至教育主管部门服务器。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3、考点需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设置休息室、询问处、饮水处，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准备30套课桌椅便于设备摆放及考务老师短暂休整。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考点入口设置警示牌：“严禁携带通讯工具参加考试”。</w:t>
      </w:r>
    </w:p>
    <w:p>
      <w:pPr>
        <w:rPr>
          <w:rFonts w:hint="eastAsia"/>
          <w:color w:val="auto"/>
          <w:sz w:val="28"/>
          <w:szCs w:val="28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color w:val="auto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headerReference r:id="rId8" w:type="first"/>
      <w:footerReference r:id="rId10" w:type="first"/>
      <w:headerReference r:id="rId7" w:type="default"/>
      <w:footerReference r:id="rId9" w:type="default"/>
      <w:pgSz w:w="11906" w:h="16838"/>
      <w:pgMar w:top="2098" w:right="1474" w:bottom="1361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- 11 -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- 12 -</w:t>
    </w:r>
    <w:r>
      <w:rPr>
        <w:rFonts w:hint="eastAsia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- 21 -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- 16 -</w:t>
    </w:r>
    <w:r>
      <w:rPr>
        <w:rFonts w:hint="eastAsi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25B0E"/>
    <w:rsid w:val="5F32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简体" w:cs="宋体"/>
      <w:kern w:val="2"/>
      <w:sz w:val="30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</w:style>
  <w:style w:type="character" w:customStyle="1" w:styleId="7">
    <w:name w:val="font41"/>
    <w:basedOn w:val="5"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8">
    <w:name w:val="font31"/>
    <w:basedOn w:val="5"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2020-01-22T01:40:00Z</dcterms:created>
  <dc:creator>薛珉</dc:creator>
  <cp:lastModifiedBy>薛珉</cp:lastModifiedBy>
  <dcterms:modified xsi:type="dcterms:W3CDTF">2020-01-22T01:41:45Z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