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宋体"/>
          <w:b/>
          <w:color w:val="FF0000"/>
          <w:spacing w:val="40"/>
          <w:w w:val="90"/>
          <w:kern w:val="15"/>
          <w:sz w:val="24"/>
        </w:rPr>
      </w:pPr>
    </w:p>
    <w:p>
      <w:pPr>
        <w:spacing w:beforeLines="50" w:afterLines="50"/>
        <w:jc w:val="center"/>
        <w:rPr>
          <w:rFonts w:ascii="宋体"/>
          <w:b/>
          <w:color w:val="FF0000"/>
          <w:spacing w:val="40"/>
          <w:w w:val="90"/>
          <w:kern w:val="15"/>
          <w:sz w:val="24"/>
        </w:rPr>
      </w:pPr>
    </w:p>
    <w:p>
      <w:pPr>
        <w:spacing w:beforeLines="50" w:afterLines="50"/>
        <w:jc w:val="center"/>
        <w:rPr>
          <w:rFonts w:ascii="宋体"/>
          <w:b/>
          <w:color w:val="FF0000"/>
          <w:spacing w:val="40"/>
          <w:w w:val="90"/>
          <w:kern w:val="15"/>
          <w:sz w:val="96"/>
          <w:szCs w:val="88"/>
        </w:rPr>
      </w:pPr>
      <w:r>
        <w:rPr>
          <w:rFonts w:hint="eastAsia" w:ascii="宋体"/>
          <w:b/>
          <w:color w:val="FF0000"/>
          <w:spacing w:val="40"/>
          <w:w w:val="90"/>
          <w:kern w:val="15"/>
          <w:sz w:val="96"/>
          <w:szCs w:val="88"/>
        </w:rPr>
        <w:t>福建省教育厅文件</w:t>
      </w:r>
    </w:p>
    <w:p>
      <w:pPr>
        <w:jc w:val="center"/>
        <w:rPr>
          <w:rFonts w:ascii="仿宋_GB2312" w:hAnsi="华文仿宋" w:eastAsia="仿宋_GB2312"/>
          <w:sz w:val="32"/>
          <w:szCs w:val="32"/>
        </w:rPr>
      </w:pPr>
    </w:p>
    <w:p>
      <w:pPr>
        <w:jc w:val="center"/>
        <w:rPr>
          <w:rFonts w:ascii="仿宋_GB2312" w:hAnsi="华文仿宋" w:eastAsia="仿宋_GB2312"/>
          <w:sz w:val="32"/>
          <w:szCs w:val="32"/>
        </w:rPr>
      </w:pPr>
      <w:r>
        <w:rPr>
          <w:rFonts w:hint="eastAsia" w:ascii="仿宋_GB2312" w:hAnsi="华文仿宋" w:eastAsia="仿宋_GB2312"/>
          <w:sz w:val="32"/>
          <w:szCs w:val="32"/>
        </w:rPr>
        <w:t>闽教职成〔</w:t>
      </w:r>
      <w:r>
        <w:rPr>
          <w:rFonts w:ascii="仿宋_GB2312" w:hAnsi="华文仿宋" w:eastAsia="仿宋_GB2312"/>
          <w:sz w:val="32"/>
          <w:szCs w:val="32"/>
        </w:rPr>
        <w:t>201</w:t>
      </w:r>
      <w:r>
        <w:rPr>
          <w:rFonts w:hint="eastAsia" w:ascii="仿宋_GB2312" w:hAnsi="华文仿宋" w:eastAsia="仿宋_GB2312"/>
          <w:sz w:val="32"/>
          <w:szCs w:val="32"/>
          <w:lang w:val="en-US" w:eastAsia="zh-CN"/>
        </w:rPr>
        <w:t>9</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14</w:t>
      </w:r>
      <w:r>
        <w:rPr>
          <w:rFonts w:hint="eastAsia" w:ascii="仿宋_GB2312" w:hAnsi="华文仿宋" w:eastAsia="仿宋_GB2312"/>
          <w:sz w:val="32"/>
          <w:szCs w:val="32"/>
        </w:rPr>
        <w:t>号</w:t>
      </w:r>
    </w:p>
    <w:p>
      <w:pPr>
        <w:jc w:val="center"/>
      </w:pPr>
      <w:r>
        <mc:AlternateContent>
          <mc:Choice Requires="wps">
            <w:drawing>
              <wp:anchor distT="0" distB="0" distL="114300" distR="114300" simplePos="0" relativeHeight="251675648" behindDoc="0" locked="0" layoutInCell="1" allowOverlap="1">
                <wp:simplePos x="0" y="0"/>
                <wp:positionH relativeFrom="column">
                  <wp:posOffset>20320</wp:posOffset>
                </wp:positionH>
                <wp:positionV relativeFrom="paragraph">
                  <wp:posOffset>0</wp:posOffset>
                </wp:positionV>
                <wp:extent cx="5534025"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pt;margin-top:0pt;height:0.05pt;width:435.75pt;z-index:251675648;mso-width-relative:page;mso-height-relative:page;" filled="f" stroked="t" coordsize="21600,21600" o:gfxdata="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OI1lNQAAAAD&#10;AQAADwAAAAAAAAABACAAAAAiAAAAZHJzL2Rvd25yZXYueG1sUEsBAhQAFAAAAAgAh07iQMmvwE3n&#10;AQAAoQMAAA4AAAAAAAAAAQAgAAAAIwEAAGRycy9lMm9Eb2MueG1sUEsFBgAAAAAGAAYAWQEAAHwF&#10;AAAAAA==&#10;">
                <v:fill on="f" focussize="0,0"/>
                <v:stroke weight="2pt" color="#FF0000" joinstyle="round"/>
                <v:imagedata o:title=""/>
                <o:lock v:ext="edit" aspectratio="f"/>
              </v:shape>
            </w:pict>
          </mc:Fallback>
        </mc:AlternateContent>
      </w: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bCs/>
          <w:sz w:val="44"/>
          <w:szCs w:val="44"/>
          <w:lang w:eastAsia="zh-CN"/>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福建省教育厅关于做好</w:t>
      </w:r>
      <w:r>
        <w:rPr>
          <w:rFonts w:hint="eastAsia" w:ascii="方正小标宋_GBK" w:hAnsi="方正小标宋_GBK" w:eastAsia="方正小标宋_GBK" w:cs="方正小标宋_GBK"/>
          <w:b w:val="0"/>
          <w:bCs w:val="0"/>
          <w:sz w:val="44"/>
          <w:szCs w:val="44"/>
          <w:lang w:val="en-US" w:eastAsia="zh-CN"/>
        </w:rPr>
        <w:t>2019年中等职业</w:t>
      </w: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学校招生工作的通知</w:t>
      </w:r>
    </w:p>
    <w:p>
      <w:pPr>
        <w:keepNext w:val="0"/>
        <w:keepLines w:val="0"/>
        <w:pageBreakBefore w:val="0"/>
        <w:widowControl w:val="0"/>
        <w:kinsoku/>
        <w:wordWrap/>
        <w:overflowPunct/>
        <w:topLinePunct w:val="0"/>
        <w:autoSpaceDE/>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各市、县（区）教育局，</w:t>
      </w:r>
      <w:r>
        <w:rPr>
          <w:rFonts w:hint="eastAsia" w:ascii="仿宋_GB2312" w:hAnsi="仿宋_GB2312" w:eastAsia="仿宋_GB2312" w:cs="仿宋_GB2312"/>
          <w:sz w:val="32"/>
          <w:szCs w:val="32"/>
          <w:lang w:val="en-US" w:eastAsia="zh-CN"/>
        </w:rPr>
        <w:t>平潭综合实验区教育局，各省属中职学校，有关高职院校：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教育部办公厅关于做好2019年中等职业学校招生工作的通知》（教职成厅〔2019〕1号）、《教育部办公厅关于建立中等职业学校学历教育招生资质定期公布制度的通知》（教职成厅〔2019〕2号）和《福建省教育厅等四部门关于印发&lt;福建省高中阶段教育质量提升计划&gt;的通知》（闽教基〔2019〕8号）精神，巩固提高我省中等职业教育发展水平，切实做好2019年中等职业学校招生工作，现就有关事项通知如下。</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一、严格落实职普比例大体相当要求</w:t>
      </w:r>
    </w:p>
    <w:p>
      <w:pPr>
        <w:keepNext w:val="0"/>
        <w:keepLines w:val="0"/>
        <w:pageBreakBefore w:val="0"/>
        <w:widowControl w:val="0"/>
        <w:tabs>
          <w:tab w:val="left" w:pos="676"/>
        </w:tabs>
        <w:kinsoku/>
        <w:wordWrap/>
        <w:overflowPunct/>
        <w:topLinePunct w:val="0"/>
        <w:autoSpaceDE/>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各地要优化教育结构，把发展中等职业教育作为普及高中阶段教育和建设中国特色职业教育体系的重要基础，保持高中阶段教育职普比大体相当，使绝大多数城乡新增劳动力接受高中阶段教育。</w:t>
      </w:r>
      <w:r>
        <w:rPr>
          <w:rFonts w:hint="eastAsia" w:ascii="仿宋_GB2312" w:hAnsi="仿宋_GB2312" w:eastAsia="仿宋_GB2312" w:cs="仿宋_GB2312"/>
          <w:color w:val="auto"/>
          <w:kern w:val="2"/>
          <w:sz w:val="32"/>
          <w:szCs w:val="32"/>
          <w:lang w:val="en-US" w:eastAsia="zh-CN" w:bidi="ar-SA"/>
        </w:rPr>
        <w:t>要按照《福建省教育厅关于印发福建省高中阶段学校考试招生制度改革的实施意见》（闽教基</w:t>
      </w:r>
      <w:r>
        <w:rPr>
          <w:rFonts w:hint="eastAsia" w:ascii="仿宋_GB2312" w:hAnsi="仿宋_GB2312" w:eastAsia="仿宋_GB2312" w:cs="仿宋_GB2312"/>
          <w:color w:val="auto"/>
          <w:sz w:val="32"/>
          <w:szCs w:val="32"/>
          <w:lang w:val="en-US" w:eastAsia="zh-CN"/>
        </w:rPr>
        <w:t>〔2018〕66号）要求，坚持“育人为本、普职并重、公平公正、统筹推进”原则，推进高中阶段考试招生制度改革，规范普通高中招生管理，所有普通高中均不得招收各设区市划定的普高最低投档控制分数线以下的学生</w:t>
      </w:r>
      <w:r>
        <w:rPr>
          <w:rFonts w:hint="eastAsia" w:ascii="仿宋_GB2312" w:hAnsi="仿宋_GB2312" w:eastAsia="仿宋_GB2312" w:cs="仿宋_GB2312"/>
          <w:kern w:val="2"/>
          <w:sz w:val="32"/>
          <w:szCs w:val="32"/>
          <w:lang w:val="en-US" w:eastAsia="zh-CN" w:bidi="ar-SA"/>
        </w:rPr>
        <w:t>。把完成我厅下达的中等职业学校指导性招生计划作为年度教育工作的一项重要任务，进一步加强普通高中与中等职业教育（含技工学校，下同）招</w:t>
      </w:r>
      <w:r>
        <w:rPr>
          <w:rFonts w:hint="eastAsia" w:ascii="仿宋_GB2312" w:hAnsi="仿宋_GB2312" w:eastAsia="仿宋_GB2312" w:cs="仿宋_GB2312"/>
          <w:color w:val="auto"/>
          <w:kern w:val="2"/>
          <w:sz w:val="32"/>
          <w:szCs w:val="32"/>
          <w:lang w:val="en-US" w:eastAsia="zh-CN" w:bidi="ar-SA"/>
        </w:rPr>
        <w:t>生工作协调，统筹制定招生政策，建立统一招生平台，推进职普</w:t>
      </w:r>
      <w:r>
        <w:rPr>
          <w:rFonts w:hint="eastAsia" w:ascii="仿宋_GB2312" w:eastAsia="仿宋_GB2312"/>
          <w:sz w:val="32"/>
          <w:szCs w:val="32"/>
          <w:lang w:eastAsia="zh-CN"/>
        </w:rPr>
        <w:t>协调发展</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高中阶段教育职普比例不协调的地区，要采取强有力措施予以调整。</w:t>
      </w:r>
    </w:p>
    <w:p>
      <w:pPr>
        <w:keepNext w:val="0"/>
        <w:keepLines w:val="0"/>
        <w:pageBreakBefore w:val="0"/>
        <w:widowControl w:val="0"/>
        <w:tabs>
          <w:tab w:val="left" w:pos="676"/>
        </w:tabs>
        <w:kinsoku/>
        <w:wordWrap/>
        <w:overflowPunct/>
        <w:topLinePunct w:val="0"/>
        <w:autoSpaceDE/>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二、积极拓宽中职招生渠道</w:t>
      </w:r>
    </w:p>
    <w:p>
      <w:pPr>
        <w:keepNext w:val="0"/>
        <w:keepLines w:val="0"/>
        <w:pageBreakBefore w:val="0"/>
        <w:widowControl w:val="0"/>
        <w:tabs>
          <w:tab w:val="left" w:pos="676"/>
        </w:tabs>
        <w:kinsoku/>
        <w:wordWrap/>
        <w:overflowPunct/>
        <w:topLinePunct w:val="0"/>
        <w:autoSpaceDE/>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各地在认真做好中等职业教育招收应届初中毕业生工作的同时，要积极拓宽生源渠道，积极招收往届初高中毕业未升学学生、城乡劳动者、退役军人、退役运动员、下岗职工、返乡农民工等，实行全日制教育与非全日制教育并举。要加强对非全日制学历教育的管理，保存档案资料，精心组织教学，保证培养质量。要通过随班就读、专门编班等形式，逐步扩大招收残疾学生的规模，保障残疾人接受中等职业教育的权利。2019年中等职业学校秋季招生补录时间，原则上截止到2019年11月20日。</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kern w:val="2"/>
          <w:sz w:val="32"/>
          <w:szCs w:val="32"/>
          <w:lang w:val="en-US" w:eastAsia="zh-CN" w:bidi="ar-SA"/>
        </w:rPr>
        <w:t xml:space="preserve"> 三、进一步</w:t>
      </w:r>
      <w:r>
        <w:rPr>
          <w:rFonts w:hint="eastAsia" w:ascii="黑体" w:hAnsi="黑体" w:eastAsia="黑体" w:cs="黑体"/>
          <w:b w:val="0"/>
          <w:bCs w:val="0"/>
          <w:color w:val="000000"/>
          <w:sz w:val="32"/>
          <w:szCs w:val="32"/>
        </w:rPr>
        <w:t>优化</w:t>
      </w:r>
      <w:r>
        <w:rPr>
          <w:rFonts w:hint="eastAsia" w:ascii="黑体" w:hAnsi="黑体" w:eastAsia="黑体" w:cs="黑体"/>
          <w:b w:val="0"/>
          <w:bCs w:val="0"/>
          <w:color w:val="000000"/>
          <w:sz w:val="32"/>
          <w:szCs w:val="32"/>
          <w:lang w:eastAsia="zh-CN"/>
        </w:rPr>
        <w:t>中职</w:t>
      </w:r>
      <w:r>
        <w:rPr>
          <w:rFonts w:hint="eastAsia" w:ascii="黑体" w:hAnsi="黑体" w:eastAsia="黑体" w:cs="黑体"/>
          <w:b w:val="0"/>
          <w:bCs w:val="0"/>
          <w:color w:val="000000"/>
          <w:sz w:val="32"/>
          <w:szCs w:val="32"/>
        </w:rPr>
        <w:t>招生专业</w:t>
      </w:r>
      <w:r>
        <w:rPr>
          <w:rFonts w:hint="eastAsia" w:ascii="黑体" w:hAnsi="黑体" w:eastAsia="黑体" w:cs="黑体"/>
          <w:b w:val="0"/>
          <w:bCs w:val="0"/>
          <w:color w:val="000000"/>
          <w:sz w:val="32"/>
          <w:szCs w:val="32"/>
          <w:lang w:eastAsia="zh-CN"/>
        </w:rPr>
        <w:t>结构</w:t>
      </w:r>
    </w:p>
    <w:p>
      <w:pPr>
        <w:keepNext w:val="0"/>
        <w:keepLines w:val="0"/>
        <w:pageBreakBefore w:val="0"/>
        <w:widowControl w:val="0"/>
        <w:tabs>
          <w:tab w:val="left" w:pos="676"/>
        </w:tabs>
        <w:kinsoku/>
        <w:wordWrap/>
        <w:overflowPunct/>
        <w:topLinePunct w:val="0"/>
        <w:autoSpaceDE/>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各地要根据区域产业发展和乡村振兴战略对技术技能人才的需求，统筹调整优化中职招生专业结构，</w:t>
      </w:r>
      <w:r>
        <w:rPr>
          <w:rFonts w:hint="eastAsia" w:ascii="仿宋_GB2312" w:eastAsia="仿宋_GB2312"/>
          <w:color w:val="000000"/>
          <w:sz w:val="32"/>
          <w:szCs w:val="32"/>
        </w:rPr>
        <w:t>促进中等职业教育培养规模、专业设置与经济社会发展需求相适应</w:t>
      </w:r>
      <w:r>
        <w:rPr>
          <w:rFonts w:hint="eastAsia" w:ascii="仿宋_GB2312" w:eastAsia="仿宋_GB2312"/>
          <w:color w:val="000000"/>
          <w:sz w:val="32"/>
          <w:szCs w:val="32"/>
          <w:lang w:eastAsia="zh-CN"/>
        </w:rPr>
        <w:t>。</w:t>
      </w:r>
      <w:r>
        <w:rPr>
          <w:rFonts w:hint="eastAsia" w:ascii="仿宋_GB2312" w:eastAsia="仿宋_GB2312"/>
          <w:color w:val="000000"/>
          <w:sz w:val="32"/>
          <w:szCs w:val="32"/>
        </w:rPr>
        <w:t>积极扩大产业发展急需</w:t>
      </w:r>
      <w:r>
        <w:rPr>
          <w:rFonts w:hint="eastAsia" w:ascii="仿宋_GB2312" w:eastAsia="仿宋_GB2312"/>
          <w:color w:val="000000"/>
          <w:sz w:val="32"/>
          <w:szCs w:val="32"/>
          <w:lang w:eastAsia="zh-CN"/>
        </w:rPr>
        <w:t>、就业前景好</w:t>
      </w:r>
      <w:r>
        <w:rPr>
          <w:rFonts w:hint="eastAsia" w:ascii="仿宋_GB2312" w:eastAsia="仿宋_GB2312"/>
          <w:color w:val="000000"/>
          <w:sz w:val="32"/>
          <w:szCs w:val="32"/>
        </w:rPr>
        <w:t>专业的招生数量，调减或停止社会需求</w:t>
      </w:r>
      <w:r>
        <w:rPr>
          <w:rFonts w:hint="eastAsia" w:ascii="仿宋_GB2312" w:eastAsia="仿宋_GB2312"/>
          <w:color w:val="000000"/>
          <w:sz w:val="32"/>
          <w:szCs w:val="32"/>
          <w:lang w:eastAsia="zh-CN"/>
        </w:rPr>
        <w:t>不足</w:t>
      </w:r>
      <w:r>
        <w:rPr>
          <w:rFonts w:hint="eastAsia" w:ascii="仿宋_GB2312" w:eastAsia="仿宋_GB2312"/>
          <w:color w:val="000000"/>
          <w:sz w:val="32"/>
          <w:szCs w:val="32"/>
        </w:rPr>
        <w:t>、就业困难专业的招生数。引导和支持中职学校之间合理分工、错位发展，避免中职学校同类专业招生拼抢生源。鼓励支持国家级、省级中职改革发展示范学校以及福建省示范性现代</w:t>
      </w:r>
      <w:r>
        <w:rPr>
          <w:rFonts w:hint="eastAsia" w:ascii="仿宋_GB2312" w:eastAsia="仿宋_GB2312"/>
          <w:color w:val="000000"/>
          <w:sz w:val="32"/>
          <w:szCs w:val="32"/>
          <w:lang w:eastAsia="zh-CN"/>
        </w:rPr>
        <w:t>职业院校建设工程培育项目</w:t>
      </w:r>
      <w:r>
        <w:rPr>
          <w:rFonts w:hint="eastAsia" w:ascii="仿宋_GB2312" w:hAnsi="仿宋_GB2312" w:eastAsia="仿宋_GB2312" w:cs="仿宋_GB2312"/>
          <w:kern w:val="2"/>
          <w:sz w:val="32"/>
          <w:szCs w:val="32"/>
          <w:lang w:val="en-US" w:eastAsia="zh-CN" w:bidi="ar-SA"/>
        </w:rPr>
        <w:t>中等职业学校</w:t>
      </w:r>
      <w:r>
        <w:rPr>
          <w:rFonts w:hint="eastAsia" w:ascii="仿宋_GB2312" w:eastAsia="仿宋_GB2312"/>
          <w:color w:val="000000"/>
          <w:sz w:val="32"/>
          <w:szCs w:val="32"/>
        </w:rPr>
        <w:t>，充分利用优质资源扩大招生规模</w:t>
      </w:r>
      <w:r>
        <w:rPr>
          <w:rFonts w:hint="eastAsia" w:ascii="仿宋_GB2312" w:eastAsia="仿宋_GB2312"/>
          <w:color w:val="000000"/>
          <w:sz w:val="32"/>
          <w:szCs w:val="32"/>
          <w:lang w:eastAsia="zh-CN"/>
        </w:rPr>
        <w:t>。认真</w:t>
      </w:r>
      <w:r>
        <w:rPr>
          <w:rFonts w:hint="eastAsia" w:ascii="仿宋_GB2312" w:eastAsia="仿宋_GB2312"/>
          <w:color w:val="000000"/>
          <w:sz w:val="32"/>
          <w:szCs w:val="32"/>
        </w:rPr>
        <w:t>落实教育精准扶贫</w:t>
      </w:r>
      <w:r>
        <w:rPr>
          <w:rFonts w:hint="eastAsia" w:ascii="仿宋_GB2312" w:eastAsia="仿宋_GB2312"/>
          <w:color w:val="000000"/>
          <w:sz w:val="32"/>
          <w:szCs w:val="32"/>
          <w:lang w:eastAsia="zh-CN"/>
        </w:rPr>
        <w:t>工作</w:t>
      </w:r>
      <w:r>
        <w:rPr>
          <w:rFonts w:hint="eastAsia" w:ascii="仿宋_GB2312" w:hAnsi="仿宋_GB2312" w:eastAsia="仿宋_GB2312" w:cs="仿宋_GB2312"/>
          <w:kern w:val="2"/>
          <w:sz w:val="32"/>
          <w:szCs w:val="32"/>
          <w:lang w:val="en-US" w:eastAsia="zh-CN" w:bidi="ar-SA"/>
        </w:rPr>
        <w:t>部署，依托区域职业院校联盟，加强专业共建、教师互派、资源共享，带动薄弱中等职业学校提升办学水平和质量，增加职业教育供给能力。</w:t>
      </w:r>
    </w:p>
    <w:p>
      <w:pPr>
        <w:keepNext w:val="0"/>
        <w:keepLines w:val="0"/>
        <w:pageBreakBefore w:val="0"/>
        <w:widowControl w:val="0"/>
        <w:tabs>
          <w:tab w:val="left" w:pos="676"/>
        </w:tabs>
        <w:kinsoku/>
        <w:wordWrap/>
        <w:overflowPunct/>
        <w:topLinePunct w:val="0"/>
        <w:autoSpaceDE/>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四、切实规范中职招生行为</w:t>
      </w:r>
    </w:p>
    <w:p>
      <w:pPr>
        <w:keepNext w:val="0"/>
        <w:keepLines w:val="0"/>
        <w:pageBreakBefore w:val="0"/>
        <w:widowControl w:val="0"/>
        <w:tabs>
          <w:tab w:val="left" w:pos="676"/>
        </w:tabs>
        <w:kinsoku/>
        <w:wordWrap/>
        <w:overflowPunct/>
        <w:topLinePunct w:val="0"/>
        <w:autoSpaceDE/>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厅将在5月底前公布经核查合格的年度具备学历教育招生资格的中等职业学校名录，具体包括：学校校名、机构代码、学校性质（公办、民办）、主管部门、学校地址、招生专业、学习形式、学制、收费标准、联系电话、学校官网网址等。不具备学历教育招生资格的中等职业学校不得招生。未经我厅同意，中等职业学校（含高职院校中职部）不得设立全日制学历教育校外教学点、分校，不得与其他学校联合办学。未经生源省与计划招生省主管部门备案，不得开展跨省招生及联合招生。严禁中等职业学校与非学历教育培训机构联合办学。</w:t>
      </w:r>
    </w:p>
    <w:p>
      <w:pPr>
        <w:keepNext w:val="0"/>
        <w:keepLines w:val="0"/>
        <w:pageBreakBefore w:val="0"/>
        <w:widowControl w:val="0"/>
        <w:tabs>
          <w:tab w:val="left" w:pos="676"/>
        </w:tabs>
        <w:kinsoku/>
        <w:wordWrap/>
        <w:overflowPunct/>
        <w:topLinePunct w:val="0"/>
        <w:autoSpaceDE/>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kern w:val="2"/>
          <w:sz w:val="32"/>
          <w:szCs w:val="32"/>
          <w:lang w:val="en-US" w:eastAsia="zh-CN" w:bidi="ar-SA"/>
        </w:rPr>
        <w:t>中等职业学校招生简章均须经设区市、</w:t>
      </w:r>
      <w:r>
        <w:rPr>
          <w:rFonts w:hint="eastAsia" w:ascii="仿宋_GB2312" w:hAnsi="仿宋_GB2312" w:eastAsia="仿宋_GB2312" w:cs="仿宋_GB2312"/>
          <w:sz w:val="32"/>
          <w:szCs w:val="32"/>
          <w:lang w:val="en-US" w:eastAsia="zh-CN"/>
        </w:rPr>
        <w:t>平潭综合实验区</w:t>
      </w:r>
      <w:r>
        <w:rPr>
          <w:rFonts w:hint="eastAsia" w:ascii="仿宋_GB2312" w:hAnsi="仿宋_GB2312" w:eastAsia="仿宋_GB2312" w:cs="仿宋_GB2312"/>
          <w:kern w:val="2"/>
          <w:sz w:val="32"/>
          <w:szCs w:val="32"/>
          <w:lang w:val="en-US" w:eastAsia="zh-CN" w:bidi="ar-SA"/>
        </w:rPr>
        <w:t>教育局审核，并在其网站公布。</w:t>
      </w:r>
      <w:r>
        <w:rPr>
          <w:rFonts w:hint="eastAsia" w:ascii="仿宋_GB2312" w:hAnsi="仿宋_GB2312" w:eastAsia="仿宋_GB2312" w:cs="仿宋_GB2312"/>
          <w:color w:val="000000"/>
          <w:sz w:val="32"/>
          <w:szCs w:val="32"/>
          <w:lang w:val="en-US" w:eastAsia="zh-CN"/>
        </w:rPr>
        <w:t>各省属中职学校（含有关省属高职院校）招生简章应于</w:t>
      </w:r>
      <w:r>
        <w:rPr>
          <w:rFonts w:hint="eastAsia" w:ascii="仿宋_GB2312" w:hAnsi="仿宋_GB2312" w:eastAsia="仿宋_GB2312" w:cs="仿宋_GB2312"/>
          <w:kern w:val="2"/>
          <w:sz w:val="32"/>
          <w:szCs w:val="32"/>
          <w:lang w:val="en-US" w:eastAsia="zh-CN" w:bidi="ar-SA"/>
        </w:rPr>
        <w:t>5月底前</w:t>
      </w:r>
      <w:r>
        <w:rPr>
          <w:rFonts w:hint="eastAsia" w:ascii="仿宋_GB2312" w:hAnsi="仿宋_GB2312" w:eastAsia="仿宋_GB2312" w:cs="仿宋_GB2312"/>
          <w:color w:val="000000"/>
          <w:sz w:val="32"/>
          <w:szCs w:val="32"/>
          <w:lang w:val="en-US" w:eastAsia="zh-CN"/>
        </w:rPr>
        <w:t>报我厅职成处（同时电子发送到指定邮箱）审核。</w:t>
      </w:r>
    </w:p>
    <w:p>
      <w:pPr>
        <w:keepNext w:val="0"/>
        <w:keepLines w:val="0"/>
        <w:pageBreakBefore w:val="0"/>
        <w:widowControl w:val="0"/>
        <w:tabs>
          <w:tab w:val="left" w:pos="676"/>
        </w:tabs>
        <w:kinsoku/>
        <w:wordWrap/>
        <w:overflowPunct/>
        <w:topLinePunct w:val="0"/>
        <w:autoSpaceDE/>
        <w:bidi w:val="0"/>
        <w:adjustRightInd/>
        <w:snapToGrid/>
        <w:spacing w:line="240" w:lineRule="auto"/>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kern w:val="2"/>
          <w:sz w:val="32"/>
          <w:szCs w:val="32"/>
          <w:lang w:val="en-US" w:eastAsia="zh-CN" w:bidi="ar-SA"/>
        </w:rPr>
        <w:t>各地各校要按照我厅公布的年度具备学历教育招生资格的中等职业学校名录以及经审核公布的中等职业学校招生简章进行招生宣传，</w:t>
      </w:r>
      <w:r>
        <w:rPr>
          <w:rFonts w:hint="eastAsia" w:ascii="仿宋_GB2312" w:eastAsia="仿宋_GB2312"/>
          <w:color w:val="000000"/>
          <w:sz w:val="32"/>
          <w:szCs w:val="32"/>
        </w:rPr>
        <w:t>为学生和家长提供真实可靠的招生信息</w:t>
      </w:r>
      <w:r>
        <w:rPr>
          <w:rFonts w:hint="eastAsia" w:ascii="仿宋_GB2312" w:eastAsia="仿宋_GB2312"/>
          <w:color w:val="000000"/>
          <w:sz w:val="32"/>
          <w:szCs w:val="32"/>
          <w:lang w:eastAsia="zh-CN"/>
        </w:rPr>
        <w:t>，杜绝</w:t>
      </w:r>
      <w:r>
        <w:rPr>
          <w:rFonts w:hint="eastAsia" w:ascii="仿宋_GB2312" w:hAnsi="仿宋_GB2312" w:eastAsia="仿宋_GB2312" w:cs="仿宋_GB2312"/>
          <w:kern w:val="2"/>
          <w:sz w:val="32"/>
          <w:szCs w:val="32"/>
          <w:lang w:val="en-US" w:eastAsia="zh-CN" w:bidi="ar-SA"/>
        </w:rPr>
        <w:t>以虚假不实信息骗招学生。</w:t>
      </w:r>
      <w:r>
        <w:rPr>
          <w:rFonts w:hint="eastAsia" w:ascii="仿宋_GB2312" w:eastAsia="仿宋_GB2312"/>
          <w:color w:val="000000"/>
          <w:sz w:val="32"/>
          <w:szCs w:val="32"/>
          <w:lang w:eastAsia="zh-CN"/>
        </w:rPr>
        <w:t>严禁在招生过程中搞区域间、学校间生源封锁和地方保护，严禁教师干预或代替学生填报志愿，严禁任何机构和个人在招生过程中向中职学校或学生索要、收受任何名义的经费或实物。</w:t>
      </w:r>
      <w:r>
        <w:rPr>
          <w:rFonts w:hint="eastAsia" w:ascii="仿宋_GB2312" w:hAnsi="仿宋_GB2312" w:eastAsia="仿宋_GB2312" w:cs="仿宋_GB2312"/>
          <w:kern w:val="2"/>
          <w:sz w:val="32"/>
          <w:szCs w:val="32"/>
          <w:lang w:val="en-US" w:eastAsia="zh-CN" w:bidi="ar-SA"/>
        </w:rPr>
        <w:t>在招生录取阶段，招生学校要在网站或公示栏及时准确公布录取考生名单及相关信息，公示时间不少于20个工作日。各地</w:t>
      </w:r>
      <w:r>
        <w:rPr>
          <w:rFonts w:hint="eastAsia" w:ascii="仿宋_GB2312" w:eastAsia="仿宋_GB2312"/>
          <w:color w:val="000000"/>
          <w:sz w:val="32"/>
          <w:szCs w:val="32"/>
          <w:lang w:eastAsia="zh-CN"/>
        </w:rPr>
        <w:t>要设立招生监督举报电话，接受社会监督。加强违纪问责，严肃查处虚假招生宣传、违规承诺和乱收费行为，以零容忍态度严惩招生过程中的违规违法行为，做到“发现一起、查处一起、曝光一起”，并依纪依规追责问责。</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五、努力</w:t>
      </w:r>
      <w:r>
        <w:rPr>
          <w:rFonts w:hint="eastAsia" w:ascii="黑体" w:hAnsi="黑体" w:eastAsia="黑体" w:cs="黑体"/>
          <w:b w:val="0"/>
          <w:bCs w:val="0"/>
          <w:color w:val="000000"/>
          <w:sz w:val="32"/>
          <w:szCs w:val="32"/>
        </w:rPr>
        <w:t>营造</w:t>
      </w:r>
      <w:r>
        <w:rPr>
          <w:rFonts w:hint="eastAsia" w:ascii="黑体" w:hAnsi="黑体" w:eastAsia="黑体" w:cs="黑体"/>
          <w:b w:val="0"/>
          <w:bCs w:val="0"/>
          <w:color w:val="000000"/>
          <w:sz w:val="32"/>
          <w:szCs w:val="32"/>
          <w:lang w:eastAsia="zh-CN"/>
        </w:rPr>
        <w:t>中职</w:t>
      </w:r>
      <w:r>
        <w:rPr>
          <w:rFonts w:hint="eastAsia" w:ascii="黑体" w:hAnsi="黑体" w:eastAsia="黑体" w:cs="黑体"/>
          <w:b w:val="0"/>
          <w:bCs w:val="0"/>
          <w:color w:val="000000"/>
          <w:sz w:val="32"/>
          <w:szCs w:val="32"/>
        </w:rPr>
        <w:t>招生良好氛围</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kern w:val="2"/>
          <w:sz w:val="32"/>
          <w:szCs w:val="32"/>
          <w:lang w:val="en-US" w:eastAsia="zh-CN" w:bidi="ar-SA"/>
        </w:rPr>
        <w:t>各地</w:t>
      </w:r>
      <w:r>
        <w:rPr>
          <w:rFonts w:hint="eastAsia" w:ascii="仿宋_GB2312" w:eastAsia="仿宋_GB2312"/>
          <w:sz w:val="32"/>
          <w:szCs w:val="32"/>
        </w:rPr>
        <w:t>要精心组织</w:t>
      </w:r>
      <w:r>
        <w:rPr>
          <w:rFonts w:hint="eastAsia" w:ascii="仿宋_GB2312" w:eastAsia="仿宋_GB2312"/>
          <w:color w:val="000000"/>
          <w:sz w:val="32"/>
          <w:szCs w:val="32"/>
        </w:rPr>
        <w:t>各</w:t>
      </w:r>
      <w:r>
        <w:rPr>
          <w:rFonts w:hint="eastAsia" w:ascii="仿宋_GB2312" w:eastAsia="仿宋_GB2312"/>
          <w:color w:val="000000"/>
          <w:sz w:val="32"/>
          <w:szCs w:val="32"/>
          <w:lang w:val="en-US" w:eastAsia="zh-CN"/>
        </w:rPr>
        <w:t>中职学校充分利用广播电视、报刊、网络等新闻媒体，采取校园开放日、政策咨询会、宣讲会等形式，开展丰富多彩的招生宣传，介绍国家和我省职业教育改革发展成果和方针政策，</w:t>
      </w:r>
      <w:r>
        <w:rPr>
          <w:rFonts w:hint="eastAsia" w:ascii="仿宋_GB2312" w:eastAsia="仿宋_GB2312"/>
          <w:color w:val="000000"/>
          <w:sz w:val="32"/>
          <w:szCs w:val="32"/>
        </w:rPr>
        <w:t>让学生和家长</w:t>
      </w:r>
      <w:r>
        <w:rPr>
          <w:rFonts w:hint="eastAsia" w:ascii="仿宋_GB2312" w:eastAsia="仿宋_GB2312"/>
          <w:color w:val="000000"/>
          <w:sz w:val="32"/>
          <w:szCs w:val="32"/>
          <w:lang w:eastAsia="zh-CN"/>
        </w:rPr>
        <w:t>了解</w:t>
      </w:r>
      <w:r>
        <w:rPr>
          <w:rFonts w:hint="eastAsia" w:ascii="仿宋_GB2312" w:eastAsia="仿宋_GB2312"/>
          <w:color w:val="000000"/>
          <w:sz w:val="32"/>
          <w:szCs w:val="32"/>
          <w:lang w:val="en-US" w:eastAsia="zh-CN"/>
        </w:rPr>
        <w:t>职业教育资助政策，</w:t>
      </w:r>
      <w:r>
        <w:rPr>
          <w:rFonts w:hint="eastAsia" w:ascii="仿宋_GB2312" w:eastAsia="仿宋_GB2312"/>
          <w:color w:val="000000"/>
          <w:sz w:val="32"/>
          <w:szCs w:val="32"/>
        </w:rPr>
        <w:t>营造良好</w:t>
      </w:r>
      <w:r>
        <w:rPr>
          <w:rFonts w:hint="eastAsia" w:ascii="仿宋_GB2312" w:eastAsia="仿宋_GB2312"/>
          <w:color w:val="000000"/>
          <w:sz w:val="32"/>
          <w:szCs w:val="32"/>
          <w:lang w:eastAsia="zh-CN"/>
        </w:rPr>
        <w:t>社会</w:t>
      </w:r>
      <w:r>
        <w:rPr>
          <w:rFonts w:hint="eastAsia" w:ascii="仿宋_GB2312" w:eastAsia="仿宋_GB2312"/>
          <w:color w:val="000000"/>
          <w:sz w:val="32"/>
          <w:szCs w:val="32"/>
        </w:rPr>
        <w:t>氛围</w:t>
      </w:r>
      <w:r>
        <w:rPr>
          <w:rFonts w:hint="eastAsia" w:ascii="仿宋_GB2312" w:eastAsia="仿宋_GB2312"/>
          <w:sz w:val="32"/>
          <w:szCs w:val="32"/>
        </w:rPr>
        <w:t>。要密切关注招生舆情，积极回应社会热点和关切，对不实报道信息要及时予以澄清。要对家庭经济困难、残疾考生、进城务工人员随迁子女等群体给予更多的关怀和帮助，不让一个新生因</w:t>
      </w:r>
      <w:r>
        <w:rPr>
          <w:rFonts w:hint="eastAsia" w:ascii="仿宋_GB2312" w:eastAsia="仿宋_GB2312"/>
          <w:sz w:val="32"/>
          <w:szCs w:val="32"/>
          <w:lang w:eastAsia="zh-CN"/>
        </w:rPr>
        <w:t>家庭</w:t>
      </w:r>
      <w:r>
        <w:rPr>
          <w:rFonts w:hint="eastAsia" w:ascii="仿宋_GB2312" w:eastAsia="仿宋_GB2312"/>
          <w:sz w:val="32"/>
          <w:szCs w:val="32"/>
        </w:rPr>
        <w:t>经济困难而放弃入学。</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六、严格中职学校学生学籍管理</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各地各校要采用“全国中等职业学校学生管理信息系统”及时做好2019级新生电子学籍注册工作，按照中职学生学籍电子注册办法要求，严格程序，严格把关，严格审核，确保学籍电子注册工作及时有序完成。在新学年各学期开学时间，要把网上审核与实地核实相结合，按时、准确、完整地标注学籍变化情况，切实保证学籍信息注册的准确性和完整性。对有弄虚作假行为的要严肃查处。对因注册工作超时、数据不准确导致无法准确查询学籍信息，无法按时资助学生的，将对有关责任人员予以通报，并追究相应责任。 </w:t>
      </w:r>
      <w:r>
        <w:rPr>
          <w:rFonts w:hint="eastAsia" w:ascii="黑体" w:hAnsi="黑体" w:eastAsia="黑体" w:cs="黑体"/>
          <w:kern w:val="2"/>
          <w:sz w:val="32"/>
          <w:szCs w:val="32"/>
          <w:lang w:val="en-US" w:eastAsia="zh-CN" w:bidi="ar-SA"/>
        </w:rPr>
        <w:t xml:space="preserve"> </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七、落实职业教育东西协作行动计划</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福建省教育厅、福建省扶贫办、宁夏回族自治区教育局、宁夏回族自治区扶贫办《关于印发&lt;闽宁职业教育协作助力脱贫攻坚工作实施方案&gt;的通知》（闽教职成〔2017〕17号）要求，实施闽宁中职招生协作兜底行动，支持宁夏建档立卡贫困家庭学生到我省承担对口支援任务的中职学校接受中等职业教育。</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实施中职招生工作情况报送制度</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请各设区市、平潭综合实验区教育局于8月至11月每月的25日前报送中职招生录取进展情况（附件1）。各设区市、平潭综合实验区教育局和省属职业院校于11月底前报送2019年中职学校分生源地招生情况（附件2）和招生工作总结。相关设区市教育局和省属中职学校于8月至11月每月的25日前报送东西协作招生进展情况（附件3、4）。</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联系人：程征，电话：0591-87091240，传真：0591-87856493，电子邮箱：</w:t>
      </w:r>
      <w:r>
        <w:rPr>
          <w:rFonts w:hint="eastAsia" w:ascii="仿宋_GB2312" w:eastAsia="仿宋_GB2312"/>
          <w:color w:val="auto"/>
          <w:sz w:val="32"/>
          <w:szCs w:val="32"/>
          <w:u w:val="none"/>
          <w:lang w:val="en-US" w:eastAsia="zh-CN"/>
        </w:rPr>
        <w:t>fjzcc@163.com。</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附件：1.2019年中等职业学校招生进展周报表</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1600" w:firstLineChars="5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2.2019年中等职业学校分生源地招生情况</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1600" w:firstLineChars="500"/>
        <w:textAlignment w:val="auto"/>
        <w:outlineLvl w:val="9"/>
        <w:rPr>
          <w:rFonts w:hint="eastAsia" w:ascii="仿宋_GB2312" w:eastAsia="仿宋_GB2312"/>
          <w:spacing w:val="-11"/>
          <w:sz w:val="32"/>
          <w:szCs w:val="32"/>
          <w:lang w:val="en-US" w:eastAsia="zh-CN"/>
        </w:rPr>
      </w:pPr>
      <w:r>
        <w:rPr>
          <w:rFonts w:hint="eastAsia" w:ascii="仿宋_GB2312" w:eastAsia="仿宋_GB2312"/>
          <w:sz w:val="32"/>
          <w:szCs w:val="32"/>
          <w:lang w:val="en-US" w:eastAsia="zh-CN"/>
        </w:rPr>
        <w:t>3.</w:t>
      </w:r>
      <w:r>
        <w:rPr>
          <w:rFonts w:hint="eastAsia" w:ascii="仿宋_GB2312" w:eastAsia="仿宋_GB2312"/>
          <w:spacing w:val="-11"/>
          <w:sz w:val="32"/>
          <w:szCs w:val="32"/>
          <w:lang w:val="en-US" w:eastAsia="zh-CN"/>
        </w:rPr>
        <w:t>2019年“东西部中职学校联合培养模式”招生情况</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1600" w:firstLineChars="5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4.2019年“东部地区中职学校培养模式”招生情况</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1600" w:firstLineChars="5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right="0" w:rightChars="0" w:firstLine="6080" w:firstLineChars="19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福建省教育厅</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w:t>
      </w:r>
      <w:bookmarkStart w:id="0" w:name="_GoBack"/>
      <w:bookmarkEnd w:id="0"/>
      <w:r>
        <w:rPr>
          <w:rFonts w:hint="eastAsia" w:ascii="仿宋_GB2312" w:eastAsia="仿宋_GB2312"/>
          <w:sz w:val="32"/>
          <w:szCs w:val="32"/>
          <w:lang w:val="en-US" w:eastAsia="zh-CN"/>
        </w:rPr>
        <w:t>019年5月20日</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textAlignment w:val="auto"/>
        <w:outlineLvl w:val="9"/>
        <w:rPr>
          <w:rFonts w:hint="eastAsia" w:ascii="仿宋_GB2312" w:eastAsia="仿宋_GB2312"/>
          <w:sz w:val="32"/>
          <w:szCs w:val="32"/>
          <w:lang w:val="en-US" w:eastAsia="zh-CN"/>
        </w:rPr>
        <w:sectPr>
          <w:footerReference r:id="rId3" w:type="default"/>
          <w:pgSz w:w="11906" w:h="16838"/>
          <w:pgMar w:top="1440" w:right="1587"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附件1</w:t>
      </w:r>
    </w:p>
    <w:p>
      <w:pPr>
        <w:pStyle w:val="4"/>
        <w:tabs>
          <w:tab w:val="left" w:pos="379"/>
          <w:tab w:val="center" w:pos="7039"/>
        </w:tabs>
        <w:spacing w:line="540" w:lineRule="exact"/>
        <w:jc w:val="center"/>
        <w:rPr>
          <w:rFonts w:ascii="黑体" w:eastAsia="黑体"/>
          <w:b w:val="0"/>
          <w:bCs/>
          <w:color w:val="000000"/>
          <w:sz w:val="36"/>
          <w:szCs w:val="32"/>
        </w:rPr>
      </w:pPr>
      <w:r>
        <w:rPr>
          <w:rFonts w:hint="eastAsia" w:ascii="方正小标宋_GBK" w:hAnsi="方正小标宋_GBK" w:eastAsia="方正小标宋_GBK" w:cs="方正小标宋_GBK"/>
          <w:b w:val="0"/>
          <w:bCs/>
          <w:color w:val="000000"/>
          <w:sz w:val="44"/>
          <w:szCs w:val="44"/>
        </w:rPr>
        <w:t>201</w:t>
      </w:r>
      <w:r>
        <w:rPr>
          <w:rFonts w:hint="eastAsia" w:ascii="方正小标宋_GBK" w:hAnsi="方正小标宋_GBK" w:eastAsia="方正小标宋_GBK" w:cs="方正小标宋_GBK"/>
          <w:b w:val="0"/>
          <w:bCs/>
          <w:color w:val="000000"/>
          <w:sz w:val="44"/>
          <w:szCs w:val="44"/>
          <w:lang w:val="en-US" w:eastAsia="zh-CN"/>
        </w:rPr>
        <w:t>9</w:t>
      </w:r>
      <w:r>
        <w:rPr>
          <w:rFonts w:hint="eastAsia" w:ascii="方正小标宋_GBK" w:hAnsi="方正小标宋_GBK" w:eastAsia="方正小标宋_GBK" w:cs="方正小标宋_GBK"/>
          <w:b w:val="0"/>
          <w:bCs/>
          <w:color w:val="000000"/>
          <w:sz w:val="44"/>
          <w:szCs w:val="44"/>
        </w:rPr>
        <w:t>年</w:t>
      </w:r>
      <w:r>
        <w:rPr>
          <w:rFonts w:hint="eastAsia" w:ascii="方正小标宋_GBK" w:hAnsi="方正小标宋_GBK" w:eastAsia="方正小标宋_GBK" w:cs="方正小标宋_GBK"/>
          <w:b w:val="0"/>
          <w:bCs/>
          <w:color w:val="000000"/>
          <w:sz w:val="44"/>
          <w:szCs w:val="44"/>
          <w:lang w:eastAsia="zh-CN"/>
        </w:rPr>
        <w:t>中等职业学校</w:t>
      </w:r>
      <w:r>
        <w:rPr>
          <w:rFonts w:hint="eastAsia" w:ascii="方正小标宋_GBK" w:hAnsi="方正小标宋_GBK" w:eastAsia="方正小标宋_GBK" w:cs="方正小标宋_GBK"/>
          <w:b w:val="0"/>
          <w:bCs/>
          <w:color w:val="000000"/>
          <w:sz w:val="44"/>
          <w:szCs w:val="44"/>
        </w:rPr>
        <w:t>招生进展</w:t>
      </w:r>
      <w:r>
        <w:rPr>
          <w:rFonts w:hint="eastAsia" w:ascii="方正小标宋_GBK" w:hAnsi="方正小标宋_GBK" w:eastAsia="方正小标宋_GBK" w:cs="方正小标宋_GBK"/>
          <w:b w:val="0"/>
          <w:bCs/>
          <w:color w:val="000000"/>
          <w:sz w:val="44"/>
          <w:szCs w:val="44"/>
          <w:lang w:eastAsia="zh-CN"/>
        </w:rPr>
        <w:t>月</w:t>
      </w:r>
      <w:r>
        <w:rPr>
          <w:rFonts w:hint="eastAsia" w:ascii="方正小标宋_GBK" w:hAnsi="方正小标宋_GBK" w:eastAsia="方正小标宋_GBK" w:cs="方正小标宋_GBK"/>
          <w:b w:val="0"/>
          <w:bCs/>
          <w:color w:val="000000"/>
          <w:sz w:val="44"/>
          <w:szCs w:val="44"/>
        </w:rPr>
        <w:t>报表</w:t>
      </w:r>
    </w:p>
    <w:p>
      <w:pPr>
        <w:adjustRightInd w:val="0"/>
        <w:snapToGrid w:val="0"/>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eastAsia="zh-CN"/>
        </w:rPr>
        <w:t>填报单位</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sz w:val="28"/>
          <w:szCs w:val="28"/>
        </w:rPr>
        <w:t xml:space="preserve">填报人：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Cs/>
          <w:color w:val="000000"/>
          <w:sz w:val="28"/>
          <w:szCs w:val="28"/>
        </w:rPr>
        <w:t>填报时间：201</w:t>
      </w:r>
      <w:r>
        <w:rPr>
          <w:rFonts w:hint="eastAsia" w:ascii="仿宋_GB2312" w:hAnsi="仿宋_GB2312" w:eastAsia="仿宋_GB2312" w:cs="仿宋_GB2312"/>
          <w:bCs/>
          <w:color w:val="000000"/>
          <w:sz w:val="28"/>
          <w:szCs w:val="28"/>
          <w:lang w:val="en-US" w:eastAsia="zh-CN"/>
        </w:rPr>
        <w:t>9</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日</w:t>
      </w:r>
      <w:r>
        <w:rPr>
          <w:rFonts w:hint="eastAsia" w:ascii="仿宋_GB2312" w:hAnsi="仿宋_GB2312" w:eastAsia="仿宋_GB2312" w:cs="仿宋_GB2312"/>
          <w:bCs/>
          <w:color w:val="000000"/>
          <w:sz w:val="28"/>
          <w:szCs w:val="28"/>
          <w:lang w:val="en-US" w:eastAsia="zh-CN"/>
        </w:rPr>
        <w:t xml:space="preserve">  </w:t>
      </w:r>
    </w:p>
    <w:tbl>
      <w:tblPr>
        <w:tblStyle w:val="9"/>
        <w:tblW w:w="14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87"/>
        <w:gridCol w:w="1182"/>
        <w:gridCol w:w="1306"/>
        <w:gridCol w:w="1114"/>
        <w:gridCol w:w="1182"/>
        <w:gridCol w:w="1182"/>
        <w:gridCol w:w="1430"/>
        <w:gridCol w:w="1058"/>
        <w:gridCol w:w="1"/>
        <w:gridCol w:w="1132"/>
        <w:gridCol w:w="1039"/>
        <w:gridCol w:w="1"/>
        <w:gridCol w:w="1162"/>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50"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设区市</w:t>
            </w:r>
          </w:p>
        </w:tc>
        <w:tc>
          <w:tcPr>
            <w:tcW w:w="887"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r>
              <w:rPr>
                <w:rFonts w:hint="eastAsia" w:ascii="宋体" w:hAnsi="宋体" w:cs="宋体"/>
                <w:color w:val="000000"/>
                <w:kern w:val="0"/>
                <w:sz w:val="24"/>
              </w:rPr>
              <w:t>初中毕业生数(人)</w:t>
            </w:r>
          </w:p>
        </w:tc>
        <w:tc>
          <w:tcPr>
            <w:tcW w:w="1182"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r>
              <w:rPr>
                <w:rFonts w:hint="eastAsia" w:ascii="宋体" w:hAnsi="宋体" w:cs="宋体"/>
                <w:color w:val="000000"/>
                <w:kern w:val="0"/>
                <w:sz w:val="24"/>
              </w:rPr>
              <w:t>中考报名人数(人)</w:t>
            </w:r>
          </w:p>
        </w:tc>
        <w:tc>
          <w:tcPr>
            <w:tcW w:w="1306"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中考总分（分）</w:t>
            </w:r>
          </w:p>
        </w:tc>
        <w:tc>
          <w:tcPr>
            <w:tcW w:w="1114"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r>
              <w:rPr>
                <w:rFonts w:hint="eastAsia" w:ascii="宋体" w:hAnsi="宋体" w:cs="宋体"/>
                <w:color w:val="000000"/>
                <w:kern w:val="0"/>
                <w:sz w:val="24"/>
              </w:rPr>
              <w:t>普高最低录取控制线(分)</w:t>
            </w:r>
          </w:p>
        </w:tc>
        <w:tc>
          <w:tcPr>
            <w:tcW w:w="1182"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省下达计划数（人）</w:t>
            </w:r>
          </w:p>
        </w:tc>
        <w:tc>
          <w:tcPr>
            <w:tcW w:w="7007" w:type="dxa"/>
            <w:gridSpan w:val="10"/>
            <w:tcBorders>
              <w:bottom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r>
              <w:rPr>
                <w:rFonts w:hint="eastAsia" w:ascii="宋体" w:hAnsi="宋体" w:cs="宋体"/>
                <w:b/>
                <w:bCs/>
                <w:color w:val="000000"/>
                <w:kern w:val="0"/>
                <w:sz w:val="24"/>
                <w:lang w:eastAsia="zh-CN"/>
              </w:rPr>
              <w:t>招生进展（人）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12" w:hRule="atLeast"/>
        </w:trPr>
        <w:tc>
          <w:tcPr>
            <w:tcW w:w="1450"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c>
          <w:tcPr>
            <w:tcW w:w="887"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182"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306"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c>
          <w:tcPr>
            <w:tcW w:w="1114"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182"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182" w:type="dxa"/>
            <w:vMerge w:val="restar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eastAsiaTheme="minorEastAsia"/>
                <w:color w:val="000000"/>
                <w:kern w:val="0"/>
                <w:sz w:val="24"/>
                <w:lang w:eastAsia="zh-CN"/>
              </w:rPr>
            </w:pPr>
            <w:r>
              <w:rPr>
                <w:rFonts w:hint="eastAsia" w:ascii="宋体" w:hAnsi="宋体" w:cs="宋体"/>
                <w:b/>
                <w:bCs/>
                <w:color w:val="000000"/>
                <w:kern w:val="0"/>
                <w:sz w:val="24"/>
                <w:lang w:eastAsia="zh-CN"/>
              </w:rPr>
              <w:t>合计</w:t>
            </w:r>
          </w:p>
        </w:tc>
        <w:tc>
          <w:tcPr>
            <w:tcW w:w="4661" w:type="dxa"/>
            <w:gridSpan w:val="6"/>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中职学校（含五年专）</w:t>
            </w:r>
          </w:p>
        </w:tc>
        <w:tc>
          <w:tcPr>
            <w:tcW w:w="1163" w:type="dxa"/>
            <w:gridSpan w:val="2"/>
            <w:vMerge w:val="restar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技工</w:t>
            </w:r>
          </w:p>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195" w:hRule="atLeast"/>
        </w:trPr>
        <w:tc>
          <w:tcPr>
            <w:tcW w:w="1450"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c>
          <w:tcPr>
            <w:tcW w:w="887"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182"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306"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c>
          <w:tcPr>
            <w:tcW w:w="1114"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182"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182"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2488"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全日制（含五年专）</w:t>
            </w:r>
          </w:p>
        </w:tc>
        <w:tc>
          <w:tcPr>
            <w:tcW w:w="2172" w:type="dxa"/>
            <w:gridSpan w:val="3"/>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非全日制</w:t>
            </w:r>
          </w:p>
        </w:tc>
        <w:tc>
          <w:tcPr>
            <w:tcW w:w="1163" w:type="dxa"/>
            <w:gridSpan w:val="2"/>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95" w:hRule="atLeast"/>
        </w:trPr>
        <w:tc>
          <w:tcPr>
            <w:tcW w:w="1450"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887"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1182"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1306"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1114"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1182"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1182"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143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rPr>
                <w:rFonts w:hint="eastAsia" w:eastAsiaTheme="minorEastAsia"/>
                <w:lang w:eastAsia="zh-CN"/>
              </w:rPr>
            </w:pPr>
            <w:r>
              <w:rPr>
                <w:rFonts w:hint="eastAsia"/>
                <w:lang w:eastAsia="zh-CN"/>
              </w:rPr>
              <w:t>本地校</w:t>
            </w:r>
          </w:p>
        </w:tc>
        <w:tc>
          <w:tcPr>
            <w:tcW w:w="1059" w:type="dxa"/>
            <w:gridSpan w:val="2"/>
            <w:vAlign w:val="center"/>
          </w:tcPr>
          <w:p>
            <w:pPr>
              <w:keepNext w:val="0"/>
              <w:keepLines w:val="0"/>
              <w:pageBreakBefore w:val="0"/>
              <w:widowControl/>
              <w:kinsoku/>
              <w:wordWrap/>
              <w:overflowPunct/>
              <w:topLinePunct w:val="0"/>
              <w:autoSpaceDE/>
              <w:autoSpaceDN/>
              <w:bidi w:val="0"/>
              <w:spacing w:line="400" w:lineRule="exact"/>
              <w:ind w:right="0" w:rightChars="0"/>
              <w:jc w:val="both"/>
              <w:textAlignment w:val="center"/>
              <w:outlineLvl w:val="9"/>
              <w:rPr>
                <w:rFonts w:hint="eastAsia" w:eastAsiaTheme="minorEastAsia"/>
                <w:lang w:eastAsia="zh-CN"/>
              </w:rPr>
            </w:pPr>
            <w:r>
              <w:rPr>
                <w:rFonts w:hint="eastAsia"/>
                <w:lang w:eastAsia="zh-CN"/>
              </w:rPr>
              <w:t>省属校</w:t>
            </w:r>
          </w:p>
        </w:tc>
        <w:tc>
          <w:tcPr>
            <w:tcW w:w="113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rPr>
                <w:b w:val="0"/>
                <w:bCs w:val="0"/>
              </w:rPr>
            </w:pPr>
            <w:r>
              <w:rPr>
                <w:rFonts w:hint="eastAsia"/>
                <w:lang w:eastAsia="zh-CN"/>
              </w:rPr>
              <w:t>本地校</w:t>
            </w:r>
          </w:p>
        </w:tc>
        <w:tc>
          <w:tcPr>
            <w:tcW w:w="1040" w:type="dxa"/>
            <w:gridSpan w:val="2"/>
            <w:vAlign w:val="center"/>
          </w:tcPr>
          <w:p>
            <w:pPr>
              <w:keepNext w:val="0"/>
              <w:keepLines w:val="0"/>
              <w:pageBreakBefore w:val="0"/>
              <w:widowControl/>
              <w:kinsoku/>
              <w:wordWrap/>
              <w:overflowPunct/>
              <w:topLinePunct w:val="0"/>
              <w:autoSpaceDE/>
              <w:autoSpaceDN/>
              <w:bidi w:val="0"/>
              <w:spacing w:line="400" w:lineRule="exact"/>
              <w:ind w:right="0" w:rightChars="0"/>
              <w:jc w:val="both"/>
              <w:textAlignment w:val="center"/>
              <w:outlineLvl w:val="9"/>
            </w:pPr>
            <w:r>
              <w:rPr>
                <w:rFonts w:hint="eastAsia"/>
                <w:lang w:eastAsia="zh-CN"/>
              </w:rPr>
              <w:t>省属校</w:t>
            </w:r>
          </w:p>
        </w:tc>
        <w:tc>
          <w:tcPr>
            <w:tcW w:w="1163" w:type="dxa"/>
            <w:gridSpan w:val="2"/>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45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rPr>
              <w:t>福州市</w:t>
            </w:r>
          </w:p>
        </w:tc>
        <w:tc>
          <w:tcPr>
            <w:tcW w:w="887"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18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c>
          <w:tcPr>
            <w:tcW w:w="111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43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059"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13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040"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163"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45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厦门市</w:t>
            </w:r>
          </w:p>
        </w:tc>
        <w:tc>
          <w:tcPr>
            <w:tcW w:w="88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306"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1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3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59"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40"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63"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45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漳州市</w:t>
            </w:r>
          </w:p>
        </w:tc>
        <w:tc>
          <w:tcPr>
            <w:tcW w:w="88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306"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1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3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59"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40"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63"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45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泉州市</w:t>
            </w:r>
          </w:p>
        </w:tc>
        <w:tc>
          <w:tcPr>
            <w:tcW w:w="88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306"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1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3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59"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40"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63"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45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莆田市</w:t>
            </w:r>
          </w:p>
        </w:tc>
        <w:tc>
          <w:tcPr>
            <w:tcW w:w="88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306"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1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3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59"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40"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63"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45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三明市</w:t>
            </w:r>
          </w:p>
        </w:tc>
        <w:tc>
          <w:tcPr>
            <w:tcW w:w="88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306"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1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3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59"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40"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63"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45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南平市</w:t>
            </w:r>
          </w:p>
        </w:tc>
        <w:tc>
          <w:tcPr>
            <w:tcW w:w="88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306"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1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3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59"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40"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63"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45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龙岩市</w:t>
            </w:r>
          </w:p>
        </w:tc>
        <w:tc>
          <w:tcPr>
            <w:tcW w:w="88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306"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1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3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59"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40"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63"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45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宁德市</w:t>
            </w:r>
          </w:p>
        </w:tc>
        <w:tc>
          <w:tcPr>
            <w:tcW w:w="88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306"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1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3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59"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40"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63"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45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平潭实验区</w:t>
            </w:r>
          </w:p>
        </w:tc>
        <w:tc>
          <w:tcPr>
            <w:tcW w:w="88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306"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1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8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3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59"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2"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040"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63"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bl>
    <w:p>
      <w:pPr>
        <w:adjustRightInd w:val="0"/>
        <w:snapToGrid w:val="0"/>
        <w:spacing w:line="300" w:lineRule="exact"/>
        <w:rPr>
          <w:rFonts w:hint="eastAsia" w:ascii="宋体" w:hAnsi="宋体" w:eastAsia="宋体" w:cs="宋体"/>
          <w:sz w:val="24"/>
          <w:szCs w:val="24"/>
        </w:rPr>
      </w:pPr>
    </w:p>
    <w:p>
      <w:pPr>
        <w:adjustRightInd w:val="0"/>
        <w:snapToGrid w:val="0"/>
        <w:spacing w:line="300" w:lineRule="exact"/>
        <w:ind w:left="1440" w:hanging="1440" w:hangingChars="600"/>
        <w:rPr>
          <w:rFonts w:hint="eastAsia" w:ascii="宋体" w:hAnsi="宋体" w:eastAsia="宋体" w:cs="宋体"/>
          <w:sz w:val="24"/>
          <w:szCs w:val="24"/>
        </w:rPr>
      </w:pPr>
      <w:r>
        <w:rPr>
          <w:rFonts w:hint="eastAsia" w:ascii="宋体" w:hAnsi="宋体" w:eastAsia="宋体" w:cs="宋体"/>
          <w:sz w:val="24"/>
          <w:szCs w:val="24"/>
        </w:rPr>
        <w:t>填</w:t>
      </w:r>
      <w:r>
        <w:rPr>
          <w:rFonts w:hint="eastAsia" w:ascii="宋体" w:hAnsi="宋体" w:eastAsia="宋体" w:cs="宋体"/>
          <w:sz w:val="24"/>
          <w:szCs w:val="24"/>
          <w:lang w:eastAsia="zh-CN"/>
        </w:rPr>
        <w:t>表</w:t>
      </w:r>
      <w:r>
        <w:rPr>
          <w:rFonts w:hint="eastAsia" w:ascii="宋体" w:hAnsi="宋体" w:eastAsia="宋体" w:cs="宋体"/>
          <w:sz w:val="24"/>
          <w:szCs w:val="24"/>
        </w:rPr>
        <w:t>说明：1.</w:t>
      </w:r>
      <w:r>
        <w:rPr>
          <w:rFonts w:hint="eastAsia" w:ascii="宋体" w:hAnsi="宋体" w:eastAsia="宋体" w:cs="宋体"/>
          <w:sz w:val="24"/>
          <w:szCs w:val="24"/>
          <w:lang w:eastAsia="zh-CN"/>
        </w:rPr>
        <w:t>本表本地校栏填报的各地市所属中职学校数据（含所属高职院校）的招生数据，省属校栏填写省属院校招收当地生源的数据。</w:t>
      </w:r>
    </w:p>
    <w:p>
      <w:pPr>
        <w:numPr>
          <w:ilvl w:val="0"/>
          <w:numId w:val="2"/>
        </w:numPr>
        <w:adjustRightInd w:val="0"/>
        <w:snapToGrid w:val="0"/>
        <w:spacing w:line="3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最后一次填报数据应与</w:t>
      </w:r>
      <w:r>
        <w:rPr>
          <w:rFonts w:hint="eastAsia" w:ascii="宋体" w:hAnsi="宋体" w:eastAsia="宋体" w:cs="宋体"/>
          <w:sz w:val="24"/>
          <w:szCs w:val="24"/>
          <w:lang w:eastAsia="zh-CN"/>
        </w:rPr>
        <w:t>全国中等职业学校学生管理信息系统中新生</w:t>
      </w:r>
      <w:r>
        <w:rPr>
          <w:rFonts w:hint="eastAsia" w:ascii="宋体" w:hAnsi="宋体" w:eastAsia="宋体" w:cs="宋体"/>
          <w:sz w:val="24"/>
          <w:szCs w:val="24"/>
        </w:rPr>
        <w:t>数据</w:t>
      </w:r>
      <w:r>
        <w:rPr>
          <w:rFonts w:hint="eastAsia" w:ascii="宋体" w:hAnsi="宋体" w:eastAsia="宋体" w:cs="宋体"/>
          <w:sz w:val="24"/>
          <w:szCs w:val="24"/>
          <w:lang w:eastAsia="zh-CN"/>
        </w:rPr>
        <w:t>相符</w:t>
      </w:r>
      <w:r>
        <w:rPr>
          <w:rFonts w:hint="eastAsia" w:ascii="宋体" w:hAnsi="宋体" w:eastAsia="宋体" w:cs="宋体"/>
          <w:sz w:val="24"/>
          <w:szCs w:val="24"/>
        </w:rPr>
        <w:t>。</w:t>
      </w:r>
    </w:p>
    <w:p>
      <w:pPr>
        <w:numPr>
          <w:ilvl w:val="0"/>
          <w:numId w:val="2"/>
        </w:numPr>
        <w:adjustRightInd w:val="0"/>
        <w:snapToGrid w:val="0"/>
        <w:spacing w:line="300" w:lineRule="exact"/>
        <w:ind w:firstLine="1200" w:firstLineChars="500"/>
        <w:rPr>
          <w:rFonts w:hint="eastAsia" w:ascii="宋体" w:hAnsi="宋体" w:eastAsia="宋体" w:cs="宋体"/>
          <w:kern w:val="2"/>
          <w:sz w:val="24"/>
          <w:szCs w:val="24"/>
          <w:lang w:val="en-US" w:eastAsia="zh-CN" w:bidi="ar-SA"/>
        </w:rPr>
        <w:sectPr>
          <w:pgSz w:w="16838" w:h="11906" w:orient="landscape"/>
          <w:pgMar w:top="1134" w:right="1440" w:bottom="1134" w:left="144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宋体" w:hAnsi="宋体" w:eastAsia="宋体" w:cs="宋体"/>
          <w:sz w:val="24"/>
          <w:szCs w:val="24"/>
          <w:lang w:val="en-US" w:eastAsia="zh-CN"/>
        </w:rPr>
        <w:t>2019年8月至11月</w:t>
      </w:r>
      <w:r>
        <w:rPr>
          <w:rFonts w:hint="eastAsia" w:ascii="宋体" w:hAnsi="宋体" w:eastAsia="宋体" w:cs="宋体"/>
          <w:sz w:val="24"/>
          <w:szCs w:val="24"/>
        </w:rPr>
        <w:t>，每</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25日</w:t>
      </w:r>
      <w:r>
        <w:rPr>
          <w:rFonts w:hint="eastAsia" w:ascii="宋体" w:hAnsi="宋体" w:eastAsia="宋体" w:cs="宋体"/>
          <w:sz w:val="24"/>
          <w:szCs w:val="24"/>
        </w:rPr>
        <w:t>前，</w:t>
      </w:r>
      <w:r>
        <w:rPr>
          <w:rFonts w:hint="eastAsia" w:ascii="宋体" w:hAnsi="宋体" w:eastAsia="宋体" w:cs="宋体"/>
          <w:sz w:val="24"/>
          <w:szCs w:val="24"/>
          <w:lang w:eastAsia="zh-CN"/>
        </w:rPr>
        <w:t>电子版</w:t>
      </w:r>
      <w:r>
        <w:rPr>
          <w:rFonts w:hint="eastAsia" w:ascii="宋体" w:hAnsi="宋体" w:eastAsia="宋体" w:cs="宋体"/>
          <w:sz w:val="24"/>
          <w:szCs w:val="24"/>
        </w:rPr>
        <w:t>报送省教育厅</w:t>
      </w:r>
      <w:r>
        <w:rPr>
          <w:rFonts w:hint="eastAsia" w:ascii="宋体" w:hAnsi="宋体" w:eastAsia="宋体" w:cs="宋体"/>
          <w:sz w:val="24"/>
          <w:szCs w:val="24"/>
          <w:lang w:eastAsia="zh-CN"/>
        </w:rPr>
        <w:t>职成处邮箱</w:t>
      </w:r>
      <w:r>
        <w:rPr>
          <w:rFonts w:hint="eastAsia" w:ascii="宋体" w:hAnsi="宋体" w:eastAsia="宋体" w:cs="宋体"/>
          <w:sz w:val="24"/>
          <w:szCs w:val="24"/>
        </w:rPr>
        <w:t xml:space="preserve">（fjzcc@163.com) </w:t>
      </w:r>
      <w:r>
        <w:rPr>
          <w:rFonts w:hint="eastAsia" w:ascii="宋体" w:hAnsi="宋体" w:eastAsia="宋体" w:cs="宋体"/>
          <w:sz w:val="24"/>
          <w:szCs w:val="24"/>
          <w:lang w:eastAsia="zh-CN"/>
        </w:rPr>
        <w:t>。</w:t>
      </w:r>
    </w:p>
    <w:p>
      <w:pPr>
        <w:numPr>
          <w:ilvl w:val="0"/>
          <w:numId w:val="0"/>
        </w:numPr>
        <w:adjustRightInd w:val="0"/>
        <w:snapToGrid w:val="0"/>
        <w:spacing w:line="240" w:lineRule="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numPr>
          <w:ilvl w:val="0"/>
          <w:numId w:val="0"/>
        </w:numPr>
        <w:adjustRightInd w:val="0"/>
        <w:snapToGrid w:val="0"/>
        <w:spacing w:line="240" w:lineRule="auto"/>
        <w:jc w:val="center"/>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2019年中等职业学校分生源地招生情况</w:t>
      </w:r>
    </w:p>
    <w:p>
      <w:pPr>
        <w:numPr>
          <w:ilvl w:val="0"/>
          <w:numId w:val="0"/>
        </w:numPr>
        <w:adjustRightInd w:val="0"/>
        <w:snapToGrid w:val="0"/>
        <w:spacing w:line="240" w:lineRule="auto"/>
        <w:rPr>
          <w:rFonts w:hint="eastAsia" w:ascii="方正小标宋_GBK" w:hAnsi="方正小标宋_GBK" w:eastAsia="方正小标宋_GBK" w:cs="方正小标宋_GBK"/>
          <w:b/>
          <w:bCs/>
          <w:kern w:val="2"/>
          <w:sz w:val="44"/>
          <w:szCs w:val="44"/>
          <w:lang w:val="en-US" w:eastAsia="zh-CN" w:bidi="ar-SA"/>
        </w:rPr>
      </w:pPr>
      <w:r>
        <w:rPr>
          <w:rFonts w:hint="eastAsia" w:ascii="方正小标宋_GBK" w:hAnsi="方正小标宋_GBK" w:eastAsia="方正小标宋_GBK" w:cs="方正小标宋_GBK"/>
          <w:b/>
          <w:bCs/>
          <w:kern w:val="2"/>
          <w:sz w:val="44"/>
          <w:szCs w:val="44"/>
          <w:lang w:val="en-US" w:eastAsia="zh-CN" w:bidi="ar-SA"/>
        </w:rPr>
        <w:t xml:space="preserve">  </w:t>
      </w:r>
    </w:p>
    <w:p>
      <w:pPr>
        <w:numPr>
          <w:ilvl w:val="0"/>
          <w:numId w:val="0"/>
        </w:numPr>
        <w:adjustRightInd w:val="0"/>
        <w:snapToGrid w:val="0"/>
        <w:spacing w:line="240" w:lineRule="auto"/>
        <w:ind w:firstLine="960" w:firstLineChars="3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填报单位：            填报人：         联系电话：</w:t>
      </w:r>
    </w:p>
    <w:p>
      <w:pPr>
        <w:numPr>
          <w:ilvl w:val="0"/>
          <w:numId w:val="0"/>
        </w:numPr>
        <w:adjustRightInd w:val="0"/>
        <w:snapToGrid w:val="0"/>
        <w:spacing w:line="240" w:lineRule="auto"/>
        <w:ind w:firstLine="640" w:firstLineChars="200"/>
        <w:rPr>
          <w:rFonts w:hint="eastAsia" w:ascii="仿宋_GB2312" w:hAnsi="仿宋_GB2312" w:eastAsia="仿宋_GB2312" w:cs="仿宋_GB2312"/>
          <w:kern w:val="2"/>
          <w:sz w:val="32"/>
          <w:szCs w:val="32"/>
          <w:lang w:val="en-US" w:eastAsia="zh-CN" w:bidi="ar-SA"/>
        </w:rPr>
      </w:pPr>
    </w:p>
    <w:p>
      <w:pPr>
        <w:rPr>
          <w:rFonts w:hint="eastAsia" w:ascii="楷体_GB2312" w:hAnsi="楷体_GB2312" w:eastAsia="楷体_GB2312" w:cs="楷体_GB2312"/>
          <w:kern w:val="0"/>
          <w:sz w:val="28"/>
          <w:szCs w:val="28"/>
        </w:rPr>
      </w:pPr>
      <w:r>
        <w:rPr>
          <w:rFonts w:hint="eastAsia" w:ascii="仿宋_GB2312" w:hAnsi="仿宋_GB2312" w:eastAsia="仿宋_GB2312" w:cs="仿宋_GB2312"/>
          <w:kern w:val="2"/>
          <w:sz w:val="32"/>
          <w:szCs w:val="32"/>
          <w:lang w:val="en-US" w:eastAsia="zh-CN" w:bidi="ar-SA"/>
        </w:rPr>
        <w:t xml:space="preserve">                                         </w:t>
      </w:r>
      <w:r>
        <w:rPr>
          <w:rFonts w:hint="eastAsia" w:ascii="楷体_GB2312" w:hAnsi="楷体_GB2312" w:eastAsia="楷体_GB2312" w:cs="楷体_GB2312"/>
          <w:kern w:val="0"/>
          <w:sz w:val="28"/>
          <w:szCs w:val="28"/>
        </w:rPr>
        <w:t>单位：人</w:t>
      </w:r>
    </w:p>
    <w:tbl>
      <w:tblPr>
        <w:tblStyle w:val="9"/>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6"/>
        <w:gridCol w:w="3307"/>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3306" w:type="dxa"/>
            <w:vAlign w:val="center"/>
          </w:tcPr>
          <w:p>
            <w:pPr>
              <w:numPr>
                <w:ilvl w:val="0"/>
                <w:numId w:val="0"/>
              </w:numPr>
              <w:adjustRightInd w:val="0"/>
              <w:snapToGrid w:val="0"/>
              <w:spacing w:line="240" w:lineRule="auto"/>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kern w:val="2"/>
                <w:sz w:val="28"/>
                <w:szCs w:val="28"/>
                <w:vertAlign w:val="baseline"/>
                <w:lang w:val="en-US" w:eastAsia="zh-CN" w:bidi="ar-SA"/>
              </w:rPr>
              <w:t>生源所在地</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kern w:val="2"/>
                <w:sz w:val="28"/>
                <w:szCs w:val="28"/>
                <w:vertAlign w:val="baseline"/>
                <w:lang w:val="en-US" w:eastAsia="zh-CN" w:bidi="ar-SA"/>
              </w:rPr>
              <w:t>全日制招生数</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kern w:val="2"/>
                <w:sz w:val="28"/>
                <w:szCs w:val="28"/>
                <w:vertAlign w:val="baseline"/>
                <w:lang w:val="en-US" w:eastAsia="zh-CN" w:bidi="ar-SA"/>
              </w:rPr>
              <w:t>非全日制招生数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福州市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厦门市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漳州市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泉州市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莆田市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三明市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南平市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龙岩市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宁德市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平潭</w:t>
            </w:r>
            <w:r>
              <w:rPr>
                <w:rFonts w:hint="eastAsia" w:ascii="宋体" w:hAnsi="宋体" w:eastAsia="宋体" w:cs="宋体"/>
                <w:color w:val="000000"/>
                <w:kern w:val="0"/>
                <w:sz w:val="28"/>
                <w:szCs w:val="28"/>
                <w:lang w:eastAsia="zh-CN"/>
              </w:rPr>
              <w:t>综合</w:t>
            </w:r>
            <w:r>
              <w:rPr>
                <w:rFonts w:hint="eastAsia" w:ascii="宋体" w:hAnsi="宋体" w:eastAsia="宋体" w:cs="宋体"/>
                <w:color w:val="000000"/>
                <w:kern w:val="0"/>
                <w:sz w:val="28"/>
                <w:szCs w:val="28"/>
              </w:rPr>
              <w:t>实验区</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外省</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bl>
    <w:p>
      <w:pPr>
        <w:numPr>
          <w:ilvl w:val="0"/>
          <w:numId w:val="0"/>
        </w:numPr>
        <w:adjustRightInd w:val="0"/>
        <w:snapToGrid w:val="0"/>
        <w:spacing w:line="240" w:lineRule="auto"/>
        <w:ind w:firstLine="640" w:firstLineChars="200"/>
        <w:rPr>
          <w:rFonts w:hint="eastAsia" w:ascii="仿宋_GB2312" w:hAnsi="仿宋_GB2312" w:eastAsia="仿宋_GB2312" w:cs="仿宋_GB2312"/>
          <w:kern w:val="2"/>
          <w:sz w:val="32"/>
          <w:szCs w:val="32"/>
          <w:lang w:val="en-US" w:eastAsia="zh-CN" w:bidi="ar-SA"/>
        </w:rPr>
      </w:pPr>
    </w:p>
    <w:p>
      <w:pPr>
        <w:tabs>
          <w:tab w:val="left" w:pos="927"/>
        </w:tabs>
        <w:ind w:left="1440" w:hanging="1440" w:hangingChars="600"/>
        <w:jc w:val="left"/>
        <w:rPr>
          <w:rFonts w:hint="eastAsia" w:ascii="宋体" w:hAnsi="宋体" w:eastAsia="宋体" w:cs="宋体"/>
          <w:sz w:val="24"/>
          <w:szCs w:val="24"/>
          <w:lang w:val="en-US" w:eastAsia="zh-CN"/>
        </w:rPr>
      </w:pPr>
      <w:r>
        <w:rPr>
          <w:rFonts w:hint="eastAsia" w:ascii="宋体" w:hAnsi="宋体" w:eastAsia="宋体" w:cs="宋体"/>
          <w:sz w:val="24"/>
          <w:szCs w:val="24"/>
        </w:rPr>
        <w:t>填</w:t>
      </w:r>
      <w:r>
        <w:rPr>
          <w:rFonts w:hint="eastAsia" w:ascii="宋体" w:hAnsi="宋体" w:eastAsia="宋体" w:cs="宋体"/>
          <w:sz w:val="24"/>
          <w:szCs w:val="24"/>
          <w:lang w:eastAsia="zh-CN"/>
        </w:rPr>
        <w:t>表</w:t>
      </w:r>
      <w:r>
        <w:rPr>
          <w:rFonts w:hint="eastAsia" w:ascii="宋体" w:hAnsi="宋体" w:eastAsia="宋体" w:cs="宋体"/>
          <w:sz w:val="24"/>
          <w:szCs w:val="24"/>
        </w:rPr>
        <w:t>说明：</w:t>
      </w:r>
      <w:r>
        <w:rPr>
          <w:rFonts w:hint="eastAsia" w:ascii="宋体" w:hAnsi="宋体" w:eastAsia="宋体" w:cs="宋体"/>
          <w:sz w:val="24"/>
          <w:szCs w:val="24"/>
          <w:lang w:val="en-US" w:eastAsia="zh-CN"/>
        </w:rPr>
        <w:t>1.生源所在地是指新生初中学校所在地。</w:t>
      </w:r>
    </w:p>
    <w:p>
      <w:pPr>
        <w:numPr>
          <w:ilvl w:val="0"/>
          <w:numId w:val="3"/>
        </w:numPr>
        <w:tabs>
          <w:tab w:val="left" w:pos="927"/>
        </w:tabs>
        <w:ind w:left="1437" w:leftChars="57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数据应与全国中等职业学校学生管理信息系统中新生数据相符。</w:t>
      </w:r>
    </w:p>
    <w:p>
      <w:pPr>
        <w:numPr>
          <w:ilvl w:val="0"/>
          <w:numId w:val="0"/>
        </w:numPr>
        <w:tabs>
          <w:tab w:val="left" w:pos="927"/>
        </w:tabs>
        <w:ind w:leftChars="470" w:firstLine="240" w:firstLineChars="100"/>
        <w:jc w:val="left"/>
        <w:rPr>
          <w:rFonts w:hint="eastAsia" w:ascii="方正小标宋_GBK" w:hAnsi="方正小标宋_GBK" w:eastAsia="方正小标宋_GBK" w:cs="方正小标宋_GBK"/>
          <w:b/>
          <w:bCs/>
          <w:kern w:val="0"/>
          <w:sz w:val="44"/>
          <w:szCs w:val="4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各地市教育局填写的数据为所属中职学校（含所属高职院校）的招生数据，不含省属学校、技工校在当地的招生数。</w:t>
      </w:r>
    </w:p>
    <w:p>
      <w:pPr>
        <w:jc w:val="center"/>
        <w:rPr>
          <w:rFonts w:hint="eastAsia" w:ascii="方正小标宋_GBK" w:hAnsi="方正小标宋_GBK" w:eastAsia="方正小标宋_GBK" w:cs="方正小标宋_GBK"/>
          <w:b/>
          <w:bCs/>
          <w:kern w:val="0"/>
          <w:sz w:val="44"/>
          <w:szCs w:val="44"/>
        </w:rPr>
        <w:sectPr>
          <w:pgSz w:w="11906" w:h="16838"/>
          <w:pgMar w:top="1440" w:right="850" w:bottom="1440" w:left="85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rPr>
          <w:rFonts w:hint="eastAsia" w:ascii="黑体" w:hAnsi="黑体" w:eastAsia="黑体" w:cs="黑体"/>
          <w:b w:val="0"/>
          <w:bCs w:val="0"/>
          <w:sz w:val="32"/>
          <w:szCs w:val="32"/>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3</w:t>
      </w:r>
    </w:p>
    <w:p>
      <w:pPr>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201</w:t>
      </w:r>
      <w:r>
        <w:rPr>
          <w:rFonts w:hint="eastAsia" w:ascii="方正小标宋_GBK" w:hAnsi="方正小标宋_GBK" w:eastAsia="方正小标宋_GBK" w:cs="方正小标宋_GBK"/>
          <w:b w:val="0"/>
          <w:bCs w:val="0"/>
          <w:kern w:val="0"/>
          <w:sz w:val="44"/>
          <w:szCs w:val="44"/>
          <w:lang w:val="en-US" w:eastAsia="zh-CN"/>
        </w:rPr>
        <w:t>9</w:t>
      </w:r>
      <w:r>
        <w:rPr>
          <w:rFonts w:hint="eastAsia" w:ascii="方正小标宋_GBK" w:hAnsi="方正小标宋_GBK" w:eastAsia="方正小标宋_GBK" w:cs="方正小标宋_GBK"/>
          <w:b w:val="0"/>
          <w:bCs w:val="0"/>
          <w:kern w:val="0"/>
          <w:sz w:val="44"/>
          <w:szCs w:val="44"/>
        </w:rPr>
        <w:t>年“东西部中职学校联合培养模式”招生情况</w:t>
      </w:r>
    </w:p>
    <w:p>
      <w:pPr>
        <w:jc w:val="center"/>
        <w:rPr>
          <w:rFonts w:hint="eastAsia" w:eastAsia="仿宋_GB2312"/>
          <w:sz w:val="32"/>
        </w:rPr>
      </w:pPr>
      <w:r>
        <w:rPr>
          <w:rFonts w:hint="eastAsia" w:ascii="新宋体" w:hAnsi="新宋体" w:eastAsia="新宋体" w:cs="宋体"/>
          <w:b/>
          <w:bCs/>
          <w:kern w:val="0"/>
          <w:sz w:val="32"/>
          <w:szCs w:val="32"/>
        </w:rPr>
        <w:t xml:space="preserve"> </w:t>
      </w:r>
    </w:p>
    <w:p>
      <w:pP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w:t>
      </w:r>
      <w:r>
        <w:rPr>
          <w:rFonts w:hint="eastAsia" w:ascii="黑体" w:hAnsi="黑体" w:eastAsia="黑体" w:cs="黑体"/>
          <w:sz w:val="28"/>
          <w:szCs w:val="28"/>
        </w:rPr>
        <w:t xml:space="preserve">                       </w:t>
      </w:r>
      <w:r>
        <w:rPr>
          <w:rFonts w:hint="eastAsia" w:ascii="楷体_GB2312" w:hAnsi="楷体_GB2312" w:eastAsia="楷体_GB2312" w:cs="楷体_GB2312"/>
          <w:kern w:val="0"/>
          <w:sz w:val="28"/>
          <w:szCs w:val="28"/>
        </w:rPr>
        <w:t xml:space="preserve"> </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 xml:space="preserve"> 单位：人</w:t>
      </w:r>
    </w:p>
    <w:tbl>
      <w:tblPr>
        <w:tblStyle w:val="8"/>
        <w:tblW w:w="12754" w:type="dxa"/>
        <w:jc w:val="center"/>
        <w:tblInd w:w="0" w:type="dxa"/>
        <w:tblLayout w:type="fixed"/>
        <w:tblCellMar>
          <w:top w:w="15" w:type="dxa"/>
          <w:left w:w="15" w:type="dxa"/>
          <w:bottom w:w="15" w:type="dxa"/>
          <w:right w:w="15" w:type="dxa"/>
        </w:tblCellMar>
      </w:tblPr>
      <w:tblGrid>
        <w:gridCol w:w="2206"/>
        <w:gridCol w:w="1783"/>
        <w:gridCol w:w="721"/>
        <w:gridCol w:w="1163"/>
        <w:gridCol w:w="1394"/>
        <w:gridCol w:w="2570"/>
        <w:gridCol w:w="676"/>
        <w:gridCol w:w="1116"/>
        <w:gridCol w:w="1125"/>
      </w:tblGrid>
      <w:tr>
        <w:tblPrEx>
          <w:tblLayout w:type="fixed"/>
          <w:tblCellMar>
            <w:top w:w="15" w:type="dxa"/>
            <w:left w:w="15" w:type="dxa"/>
            <w:bottom w:w="15" w:type="dxa"/>
            <w:right w:w="15" w:type="dxa"/>
          </w:tblCellMar>
        </w:tblPrEx>
        <w:trPr>
          <w:trHeight w:val="918" w:hRule="atLeast"/>
          <w:jc w:val="center"/>
        </w:trPr>
        <w:tc>
          <w:tcPr>
            <w:tcW w:w="220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招生学校</w:t>
            </w:r>
          </w:p>
        </w:tc>
        <w:tc>
          <w:tcPr>
            <w:tcW w:w="178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学校类别</w:t>
            </w:r>
          </w:p>
        </w:tc>
        <w:tc>
          <w:tcPr>
            <w:tcW w:w="72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招生计划</w:t>
            </w:r>
          </w:p>
        </w:tc>
        <w:tc>
          <w:tcPr>
            <w:tcW w:w="116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招生专业</w:t>
            </w:r>
          </w:p>
        </w:tc>
        <w:tc>
          <w:tcPr>
            <w:tcW w:w="68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协作省份情况</w:t>
            </w:r>
          </w:p>
        </w:tc>
      </w:tr>
      <w:tr>
        <w:tblPrEx>
          <w:tblLayout w:type="fixed"/>
          <w:tblCellMar>
            <w:top w:w="15" w:type="dxa"/>
            <w:left w:w="15" w:type="dxa"/>
            <w:bottom w:w="15" w:type="dxa"/>
            <w:right w:w="15" w:type="dxa"/>
          </w:tblCellMar>
        </w:tblPrEx>
        <w:trPr>
          <w:trHeight w:val="845" w:hRule="atLeast"/>
          <w:jc w:val="center"/>
        </w:trPr>
        <w:tc>
          <w:tcPr>
            <w:tcW w:w="220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p>
        </w:tc>
        <w:tc>
          <w:tcPr>
            <w:tcW w:w="178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p>
        </w:tc>
        <w:tc>
          <w:tcPr>
            <w:tcW w:w="721"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p>
        </w:tc>
        <w:tc>
          <w:tcPr>
            <w:tcW w:w="116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省份</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联办学校</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送生人数</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分段培养方式</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联办专业</w:t>
            </w:r>
          </w:p>
        </w:tc>
      </w:tr>
      <w:tr>
        <w:tblPrEx>
          <w:tblLayout w:type="fixed"/>
          <w:tblCellMar>
            <w:top w:w="15" w:type="dxa"/>
            <w:left w:w="15" w:type="dxa"/>
            <w:bottom w:w="15" w:type="dxa"/>
            <w:right w:w="15" w:type="dxa"/>
          </w:tblCellMar>
        </w:tblPrEx>
        <w:trPr>
          <w:trHeight w:val="1160" w:hRule="atLeast"/>
          <w:jc w:val="center"/>
        </w:trPr>
        <w:tc>
          <w:tcPr>
            <w:tcW w:w="220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721"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394"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2570"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1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r>
      <w:tr>
        <w:tblPrEx>
          <w:tblLayout w:type="fixed"/>
          <w:tblCellMar>
            <w:top w:w="15" w:type="dxa"/>
            <w:left w:w="15" w:type="dxa"/>
            <w:bottom w:w="15" w:type="dxa"/>
            <w:right w:w="15" w:type="dxa"/>
          </w:tblCellMar>
        </w:tblPrEx>
        <w:trPr>
          <w:trHeight w:val="1102" w:hRule="atLeast"/>
          <w:jc w:val="center"/>
        </w:trPr>
        <w:tc>
          <w:tcPr>
            <w:tcW w:w="220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721"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394"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2570"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1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r>
    </w:tbl>
    <w:p>
      <w:pPr>
        <w:jc w:val="left"/>
        <w:rPr>
          <w:rFonts w:hint="eastAsia" w:ascii="黑体" w:hAnsi="黑体" w:eastAsia="黑体" w:cs="宋体"/>
          <w:b w:val="0"/>
          <w:bCs w:val="0"/>
          <w:kern w:val="0"/>
          <w:sz w:val="24"/>
        </w:rPr>
      </w:pPr>
    </w:p>
    <w:p>
      <w:pPr>
        <w:ind w:firstLine="480" w:firstLineChars="200"/>
        <w:jc w:val="left"/>
        <w:rPr>
          <w:rFonts w:hint="eastAsia" w:ascii="宋体" w:hAnsi="宋体" w:eastAsia="宋体" w:cs="宋体"/>
          <w:b w:val="0"/>
          <w:bCs w:val="0"/>
          <w:kern w:val="0"/>
          <w:sz w:val="24"/>
        </w:rPr>
      </w:pPr>
      <w:r>
        <w:rPr>
          <w:rFonts w:hint="eastAsia" w:ascii="宋体" w:hAnsi="宋体" w:eastAsia="宋体" w:cs="宋体"/>
          <w:b w:val="0"/>
          <w:bCs w:val="0"/>
          <w:kern w:val="0"/>
          <w:sz w:val="24"/>
        </w:rPr>
        <w:t>备注</w:t>
      </w: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1</w:t>
      </w:r>
      <w:r>
        <w:rPr>
          <w:rFonts w:hint="eastAsia" w:ascii="宋体" w:hAnsi="宋体" w:eastAsia="宋体" w:cs="宋体"/>
          <w:b w:val="0"/>
          <w:bCs w:val="0"/>
          <w:kern w:val="0"/>
          <w:sz w:val="24"/>
        </w:rPr>
        <w:t>.“招生学校类别”请填写国家改革发展示范校、国家重点校、省级示范校或重点校、其他；</w:t>
      </w:r>
    </w:p>
    <w:p>
      <w:pPr>
        <w:ind w:firstLine="1185" w:firstLineChars="494"/>
        <w:jc w:val="left"/>
        <w:outlineLvl w:val="0"/>
        <w:rPr>
          <w:rFonts w:hint="eastAsia" w:ascii="宋体" w:hAnsi="宋体" w:eastAsia="宋体" w:cs="宋体"/>
          <w:b w:val="0"/>
          <w:bCs w:val="0"/>
          <w:kern w:val="0"/>
          <w:sz w:val="24"/>
        </w:rPr>
      </w:pPr>
      <w:r>
        <w:rPr>
          <w:rFonts w:hint="eastAsia" w:ascii="宋体" w:hAnsi="宋体" w:eastAsia="宋体" w:cs="宋体"/>
          <w:b w:val="0"/>
          <w:bCs w:val="0"/>
          <w:kern w:val="0"/>
          <w:sz w:val="24"/>
          <w:lang w:val="en-US" w:eastAsia="zh-CN"/>
        </w:rPr>
        <w:t>2</w:t>
      </w:r>
      <w:r>
        <w:rPr>
          <w:rFonts w:hint="eastAsia" w:ascii="宋体" w:hAnsi="宋体" w:eastAsia="宋体" w:cs="宋体"/>
          <w:b w:val="0"/>
          <w:bCs w:val="0"/>
          <w:kern w:val="0"/>
          <w:sz w:val="24"/>
        </w:rPr>
        <w:t>.“分段培养方式”包括“1+2”或“2+1”等分段培养方式；</w:t>
      </w:r>
    </w:p>
    <w:p>
      <w:pPr>
        <w:ind w:left="1437" w:leftChars="570" w:hanging="240" w:hangingChars="100"/>
        <w:jc w:val="left"/>
        <w:rPr>
          <w:rFonts w:hint="eastAsia" w:ascii="宋体" w:hAnsi="宋体" w:eastAsia="宋体" w:cs="宋体"/>
          <w:b w:val="0"/>
          <w:bCs w:val="0"/>
        </w:rPr>
      </w:pPr>
      <w:r>
        <w:rPr>
          <w:rFonts w:hint="eastAsia" w:ascii="宋体" w:hAnsi="宋体" w:eastAsia="宋体" w:cs="宋体"/>
          <w:b w:val="0"/>
          <w:bCs w:val="0"/>
          <w:kern w:val="0"/>
          <w:sz w:val="24"/>
          <w:lang w:val="en-US" w:eastAsia="zh-CN"/>
        </w:rPr>
        <w:t>3</w:t>
      </w:r>
      <w:r>
        <w:rPr>
          <w:rFonts w:hint="eastAsia" w:ascii="宋体" w:hAnsi="宋体" w:eastAsia="宋体" w:cs="宋体"/>
          <w:b w:val="0"/>
          <w:bCs w:val="0"/>
          <w:kern w:val="0"/>
          <w:sz w:val="24"/>
        </w:rPr>
        <w:t>.“送生人数”指被帮扶省份教育部门会同扶贫部门确定的建档立卡等贫困家庭初中毕业生到省（区、市）外经济较发达地区接受优质中等职业教育的人数。</w:t>
      </w:r>
    </w:p>
    <w:p>
      <w:pPr>
        <w:rPr>
          <w:rFonts w:hint="eastAsia" w:ascii="黑体" w:hAnsi="黑体" w:eastAsia="黑体" w:cs="黑体"/>
          <w:b w:val="0"/>
          <w:bCs w:val="0"/>
          <w:kern w:val="0"/>
          <w:sz w:val="32"/>
          <w:szCs w:val="32"/>
        </w:rPr>
      </w:pPr>
    </w:p>
    <w:p>
      <w:pPr>
        <w:rPr>
          <w:rFonts w:hint="eastAsia" w:ascii="黑体" w:hAnsi="黑体" w:eastAsia="黑体" w:cs="黑体"/>
          <w:b w:val="0"/>
          <w:bCs w:val="0"/>
          <w:kern w:val="0"/>
          <w:sz w:val="32"/>
          <w:szCs w:val="32"/>
        </w:rPr>
      </w:pPr>
    </w:p>
    <w:p>
      <w:pPr>
        <w:rPr>
          <w:rFonts w:hint="eastAsia" w:ascii="黑体" w:hAnsi="黑体" w:eastAsia="黑体" w:cs="黑体"/>
          <w:b w:val="0"/>
          <w:bCs w:val="0"/>
          <w:sz w:val="32"/>
          <w:szCs w:val="32"/>
          <w:lang w:val="en-US"/>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4</w:t>
      </w:r>
    </w:p>
    <w:p>
      <w:pPr>
        <w:jc w:val="center"/>
        <w:rPr>
          <w:rFonts w:hint="eastAsia" w:eastAsia="仿宋_GB2312"/>
          <w:sz w:val="32"/>
        </w:rPr>
      </w:pPr>
      <w:r>
        <w:rPr>
          <w:rFonts w:hint="eastAsia" w:ascii="方正小标宋_GBK" w:hAnsi="方正小标宋_GBK" w:eastAsia="方正小标宋_GBK" w:cs="方正小标宋_GBK"/>
          <w:b w:val="0"/>
          <w:bCs w:val="0"/>
          <w:kern w:val="0"/>
          <w:sz w:val="44"/>
          <w:szCs w:val="44"/>
        </w:rPr>
        <w:t>201</w:t>
      </w:r>
      <w:r>
        <w:rPr>
          <w:rFonts w:hint="eastAsia" w:ascii="方正小标宋_GBK" w:hAnsi="方正小标宋_GBK" w:eastAsia="方正小标宋_GBK" w:cs="方正小标宋_GBK"/>
          <w:b w:val="0"/>
          <w:bCs w:val="0"/>
          <w:kern w:val="0"/>
          <w:sz w:val="44"/>
          <w:szCs w:val="44"/>
          <w:lang w:val="en-US" w:eastAsia="zh-CN"/>
        </w:rPr>
        <w:t>9</w:t>
      </w:r>
      <w:r>
        <w:rPr>
          <w:rFonts w:hint="eastAsia" w:ascii="方正小标宋_GBK" w:hAnsi="方正小标宋_GBK" w:eastAsia="方正小标宋_GBK" w:cs="方正小标宋_GBK"/>
          <w:b w:val="0"/>
          <w:bCs w:val="0"/>
          <w:kern w:val="0"/>
          <w:sz w:val="44"/>
          <w:szCs w:val="44"/>
        </w:rPr>
        <w:t xml:space="preserve">年“东部地区中职学校培养模式”招生情况             </w:t>
      </w:r>
      <w:r>
        <w:rPr>
          <w:rFonts w:hint="eastAsia" w:ascii="黑体" w:hAnsi="黑体" w:eastAsia="黑体" w:cs="宋体"/>
          <w:b/>
          <w:bCs/>
          <w:kern w:val="0"/>
          <w:sz w:val="28"/>
          <w:szCs w:val="28"/>
        </w:rPr>
        <w:t xml:space="preserve">                                                         </w:t>
      </w:r>
    </w:p>
    <w:p>
      <w:pPr>
        <w:jc w:val="left"/>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单位：人</w:t>
      </w:r>
    </w:p>
    <w:tbl>
      <w:tblPr>
        <w:tblStyle w:val="8"/>
        <w:tblW w:w="12953" w:type="dxa"/>
        <w:jc w:val="center"/>
        <w:tblInd w:w="0" w:type="dxa"/>
        <w:tblLayout w:type="fixed"/>
        <w:tblCellMar>
          <w:top w:w="15" w:type="dxa"/>
          <w:left w:w="15" w:type="dxa"/>
          <w:bottom w:w="15" w:type="dxa"/>
          <w:right w:w="15" w:type="dxa"/>
        </w:tblCellMar>
      </w:tblPr>
      <w:tblGrid>
        <w:gridCol w:w="3043"/>
        <w:gridCol w:w="2905"/>
        <w:gridCol w:w="799"/>
        <w:gridCol w:w="1469"/>
        <w:gridCol w:w="1780"/>
        <w:gridCol w:w="1503"/>
        <w:gridCol w:w="1454"/>
      </w:tblGrid>
      <w:tr>
        <w:tblPrEx>
          <w:tblLayout w:type="fixed"/>
          <w:tblCellMar>
            <w:top w:w="15" w:type="dxa"/>
            <w:left w:w="15" w:type="dxa"/>
            <w:bottom w:w="15" w:type="dxa"/>
            <w:right w:w="15" w:type="dxa"/>
          </w:tblCellMar>
        </w:tblPrEx>
        <w:trPr>
          <w:trHeight w:val="1021" w:hRule="atLeast"/>
          <w:jc w:val="center"/>
        </w:trPr>
        <w:tc>
          <w:tcPr>
            <w:tcW w:w="30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帮扶省份招生学校</w:t>
            </w:r>
          </w:p>
        </w:tc>
        <w:tc>
          <w:tcPr>
            <w:tcW w:w="290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学校类别</w:t>
            </w:r>
          </w:p>
        </w:tc>
        <w:tc>
          <w:tcPr>
            <w:tcW w:w="7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招生</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计划</w:t>
            </w:r>
          </w:p>
        </w:tc>
        <w:tc>
          <w:tcPr>
            <w:tcW w:w="1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招生专业</w:t>
            </w:r>
          </w:p>
        </w:tc>
        <w:tc>
          <w:tcPr>
            <w:tcW w:w="47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被帮扶省份情况</w:t>
            </w:r>
          </w:p>
        </w:tc>
      </w:tr>
      <w:tr>
        <w:tblPrEx>
          <w:tblLayout w:type="fixed"/>
          <w:tblCellMar>
            <w:top w:w="15" w:type="dxa"/>
            <w:left w:w="15" w:type="dxa"/>
            <w:bottom w:w="15" w:type="dxa"/>
            <w:right w:w="15" w:type="dxa"/>
          </w:tblCellMar>
        </w:tblPrEx>
        <w:trPr>
          <w:trHeight w:val="1004" w:hRule="atLeast"/>
          <w:jc w:val="center"/>
        </w:trPr>
        <w:tc>
          <w:tcPr>
            <w:tcW w:w="3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c>
          <w:tcPr>
            <w:tcW w:w="2905" w:type="dxa"/>
            <w:vMerge w:val="continue"/>
            <w:tcBorders>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c>
          <w:tcPr>
            <w:tcW w:w="1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省份</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送生人数</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培养方式</w:t>
            </w:r>
          </w:p>
        </w:tc>
      </w:tr>
      <w:tr>
        <w:tblPrEx>
          <w:tblLayout w:type="fixed"/>
          <w:tblCellMar>
            <w:top w:w="15" w:type="dxa"/>
            <w:left w:w="15" w:type="dxa"/>
            <w:bottom w:w="15" w:type="dxa"/>
            <w:right w:w="15" w:type="dxa"/>
          </w:tblCellMar>
        </w:tblPrEx>
        <w:trPr>
          <w:trHeight w:val="601" w:hRule="atLeast"/>
          <w:jc w:val="center"/>
        </w:trPr>
        <w:tc>
          <w:tcPr>
            <w:tcW w:w="30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29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7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5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r>
        <w:tblPrEx>
          <w:tblLayout w:type="fixed"/>
          <w:tblCellMar>
            <w:top w:w="15" w:type="dxa"/>
            <w:left w:w="15" w:type="dxa"/>
            <w:bottom w:w="15" w:type="dxa"/>
            <w:right w:w="15" w:type="dxa"/>
          </w:tblCellMar>
        </w:tblPrEx>
        <w:trPr>
          <w:trHeight w:val="601" w:hRule="atLeast"/>
          <w:jc w:val="center"/>
        </w:trPr>
        <w:tc>
          <w:tcPr>
            <w:tcW w:w="30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29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7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5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r>
        <w:tblPrEx>
          <w:tblLayout w:type="fixed"/>
          <w:tblCellMar>
            <w:top w:w="15" w:type="dxa"/>
            <w:left w:w="15" w:type="dxa"/>
            <w:bottom w:w="15" w:type="dxa"/>
            <w:right w:w="15" w:type="dxa"/>
          </w:tblCellMar>
        </w:tblPrEx>
        <w:trPr>
          <w:trHeight w:val="601" w:hRule="atLeast"/>
          <w:jc w:val="center"/>
        </w:trPr>
        <w:tc>
          <w:tcPr>
            <w:tcW w:w="30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29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7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5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r>
        <w:tblPrEx>
          <w:tblLayout w:type="fixed"/>
          <w:tblCellMar>
            <w:top w:w="15" w:type="dxa"/>
            <w:left w:w="15" w:type="dxa"/>
            <w:bottom w:w="15" w:type="dxa"/>
            <w:right w:w="15" w:type="dxa"/>
          </w:tblCellMar>
        </w:tblPrEx>
        <w:trPr>
          <w:trHeight w:val="615" w:hRule="atLeast"/>
          <w:jc w:val="center"/>
        </w:trPr>
        <w:tc>
          <w:tcPr>
            <w:tcW w:w="30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29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7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5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bl>
    <w:p>
      <w:pPr>
        <w:ind w:left="1063" w:hanging="1063" w:hangingChars="441"/>
        <w:rPr>
          <w:rFonts w:hint="eastAsia" w:ascii="宋体" w:hAnsi="宋体" w:eastAsia="宋体" w:cs="宋体"/>
          <w:b/>
          <w:bCs/>
          <w:kern w:val="0"/>
          <w:sz w:val="24"/>
          <w:szCs w:val="24"/>
        </w:rPr>
      </w:pPr>
      <w:r>
        <w:rPr>
          <w:rFonts w:hint="eastAsia" w:ascii="黑体" w:hAnsi="黑体" w:eastAsia="黑体" w:cs="宋体"/>
          <w:b/>
          <w:bCs/>
          <w:kern w:val="0"/>
          <w:sz w:val="24"/>
        </w:rPr>
        <w:t xml:space="preserve">        </w:t>
      </w:r>
      <w:r>
        <w:rPr>
          <w:rFonts w:hint="eastAsia" w:ascii="宋体" w:hAnsi="宋体" w:eastAsia="宋体" w:cs="宋体"/>
          <w:b/>
          <w:bCs/>
          <w:kern w:val="0"/>
          <w:sz w:val="24"/>
          <w:szCs w:val="24"/>
        </w:rPr>
        <w:t xml:space="preserve"> </w:t>
      </w:r>
    </w:p>
    <w:p>
      <w:pPr>
        <w:ind w:left="1055" w:leftChars="458" w:hanging="93" w:hangingChars="3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备注：1.“招生学校类别”请填写国家改革发展示范校、国家重点校、省级示范校或重点校、其他；</w:t>
      </w:r>
    </w:p>
    <w:p>
      <w:pPr>
        <w:outlineLvl w:val="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.“培养方式”包括“现代学徒制”或“订单式”等培养方式；</w:t>
      </w:r>
    </w:p>
    <w:p>
      <w:pPr>
        <w:ind w:firstLine="1680" w:firstLineChars="7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.“送生人数”指被帮扶省份教育部门会同扶贫部门确定的建档立卡等贫困家庭初中毕业生到省（区、市）外经济</w:t>
      </w:r>
    </w:p>
    <w:p>
      <w:pPr>
        <w:ind w:firstLine="2160" w:firstLineChars="900"/>
        <w:rPr>
          <w:rFonts w:hint="eastAsia" w:ascii="宋体" w:hAnsi="宋体" w:eastAsia="宋体" w:cs="宋体"/>
          <w:b w:val="0"/>
          <w:bCs w:val="0"/>
          <w:sz w:val="24"/>
          <w:szCs w:val="24"/>
        </w:rPr>
      </w:pPr>
      <w:r>
        <w:rPr>
          <w:rFonts w:hint="eastAsia" w:ascii="宋体" w:hAnsi="宋体" w:eastAsia="宋体" w:cs="宋体"/>
          <w:b w:val="0"/>
          <w:bCs w:val="0"/>
          <w:kern w:val="0"/>
          <w:sz w:val="24"/>
          <w:szCs w:val="24"/>
        </w:rPr>
        <w:t>较发达地区接受优质中等职业教育的人数。</w:t>
      </w:r>
    </w:p>
    <w:p>
      <w:pPr>
        <w:pStyle w:val="4"/>
        <w:spacing w:line="540" w:lineRule="exact"/>
        <w:jc w:val="center"/>
        <w:rPr>
          <w:rFonts w:hint="eastAsia" w:ascii="黑体" w:eastAsia="黑体"/>
          <w:b w:val="0"/>
          <w:bCs w:val="0"/>
          <w:color w:val="000000"/>
          <w:sz w:val="36"/>
          <w:szCs w:val="32"/>
        </w:rPr>
        <w:sectPr>
          <w:pgSz w:w="16838" w:h="11906" w:orient="landscape"/>
          <w:pgMar w:top="850" w:right="1440" w:bottom="850" w:left="144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numPr>
          <w:ilvl w:val="0"/>
          <w:numId w:val="0"/>
        </w:numPr>
        <w:tabs>
          <w:tab w:val="left" w:pos="927"/>
        </w:tabs>
        <w:ind w:leftChars="470"/>
        <w:jc w:val="left"/>
        <w:rPr>
          <w:rFonts w:hint="eastAsia" w:ascii="宋体" w:hAnsi="宋体" w:eastAsia="宋体" w:cs="宋体"/>
          <w:sz w:val="24"/>
          <w:szCs w:val="24"/>
          <w:lang w:val="en-US" w:eastAsia="zh-CN"/>
        </w:rPr>
      </w:pPr>
    </w:p>
    <w:p>
      <w:pPr>
        <w:numPr>
          <w:ilvl w:val="0"/>
          <w:numId w:val="0"/>
        </w:numPr>
        <w:tabs>
          <w:tab w:val="left" w:pos="927"/>
        </w:tabs>
        <w:ind w:leftChars="470"/>
        <w:jc w:val="left"/>
        <w:rPr>
          <w:rFonts w:hint="eastAsia" w:ascii="宋体" w:hAnsi="宋体" w:eastAsia="宋体" w:cs="宋体"/>
          <w:sz w:val="24"/>
          <w:szCs w:val="24"/>
          <w:lang w:val="en-US" w:eastAsia="zh-CN"/>
        </w:rPr>
      </w:pPr>
    </w:p>
    <w:p>
      <w:pPr>
        <w:numPr>
          <w:ilvl w:val="0"/>
          <w:numId w:val="0"/>
        </w:numPr>
        <w:tabs>
          <w:tab w:val="left" w:pos="927"/>
        </w:tabs>
        <w:ind w:leftChars="470"/>
        <w:jc w:val="left"/>
        <w:rPr>
          <w:rFonts w:hint="eastAsia" w:ascii="宋体" w:hAnsi="宋体" w:eastAsia="宋体" w:cs="宋体"/>
          <w:sz w:val="24"/>
          <w:szCs w:val="24"/>
          <w:lang w:val="en-US" w:eastAsia="zh-CN"/>
        </w:rPr>
      </w:pPr>
    </w:p>
    <w:p>
      <w:pPr>
        <w:numPr>
          <w:ilvl w:val="0"/>
          <w:numId w:val="0"/>
        </w:numPr>
        <w:tabs>
          <w:tab w:val="left" w:pos="927"/>
        </w:tabs>
        <w:ind w:leftChars="470"/>
        <w:jc w:val="left"/>
        <w:rPr>
          <w:rFonts w:hint="eastAsia" w:ascii="宋体" w:hAnsi="宋体" w:eastAsia="宋体" w:cs="宋体"/>
          <w:sz w:val="24"/>
          <w:szCs w:val="24"/>
          <w:lang w:val="en-US" w:eastAsia="zh-CN"/>
        </w:rPr>
      </w:pPr>
    </w:p>
    <w:p>
      <w:pPr>
        <w:numPr>
          <w:ilvl w:val="0"/>
          <w:numId w:val="0"/>
        </w:numPr>
        <w:tabs>
          <w:tab w:val="left" w:pos="927"/>
        </w:tabs>
        <w:ind w:leftChars="470"/>
        <w:jc w:val="left"/>
        <w:rPr>
          <w:rFonts w:hint="eastAsia" w:ascii="宋体" w:hAnsi="宋体" w:eastAsia="宋体" w:cs="宋体"/>
          <w:sz w:val="24"/>
          <w:szCs w:val="24"/>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numPr>
          <w:ilvl w:val="0"/>
          <w:numId w:val="0"/>
        </w:numPr>
        <w:jc w:val="both"/>
        <w:rPr>
          <w:rFonts w:hint="eastAsia" w:ascii="黑体" w:hAnsi="黑体" w:eastAsia="黑体" w:cs="黑体"/>
          <w:color w:val="000000"/>
          <w:sz w:val="32"/>
          <w:szCs w:val="32"/>
          <w:lang w:val="en-US" w:eastAsia="zh-CN"/>
        </w:rPr>
      </w:pP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（主动公开）</w:t>
      </w:r>
    </w:p>
    <w:p>
      <w:pPr>
        <w:spacing w:line="560" w:lineRule="exact"/>
        <w:rPr>
          <w:rFonts w:hint="eastAsia" w:ascii="仿宋_GB2312" w:hAnsi="仿宋" w:eastAsia="仿宋_GB2312"/>
          <w:sz w:val="28"/>
          <w:szCs w:val="28"/>
        </w:rPr>
      </w:pPr>
    </w:p>
    <w:p>
      <w:pPr>
        <w:spacing w:line="560" w:lineRule="exact"/>
        <w:ind w:left="839" w:leftChars="133" w:hanging="560" w:hangingChars="200"/>
        <w:rPr>
          <w:rFonts w:hint="eastAsia" w:ascii="仿宋_GB2312" w:hAnsi="仿宋_GB2312" w:eastAsia="仿宋_GB2312"/>
          <w:sz w:val="28"/>
          <w:szCs w:val="28"/>
        </w:rPr>
      </w:pPr>
      <w:r>
        <w:rPr>
          <w:rFonts w:hint="eastAsia" w:ascii="仿宋_GB2312" w:hAnsi="仿宋"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60070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pt;width:441pt;z-index:251663360;mso-width-relative:page;mso-height-relative:page;" filled="f" stroked="t" coordsize="21600,21600" o:gfxdata="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rSjTs4AAAACAQAADwAAAAAAAAAB&#10;ACAAAAAiAAAAZHJzL2Rvd25yZXYueG1sUEsBAhQAFAAAAAgAh07iQAaTSxrhAQAAnwMAAA4AAAAA&#10;AAAAAQAgAAAAHQEAAGRycy9lMm9Eb2MueG1sUEsFBgAAAAAGAAYAWQEAAHAFAAAAAA==&#10;">
                <v:fill on="f" focussize="0,0"/>
                <v:stroke weight="1.5pt" color="#000000" joinstyle="round"/>
                <v:imagedata o:title=""/>
                <o:lock v:ext="edit" aspectratio="f"/>
              </v:shape>
            </w:pict>
          </mc:Fallback>
        </mc:AlternateContent>
      </w:r>
      <w:r>
        <w:rPr>
          <w:rFonts w:hint="eastAsia" w:ascii="仿宋_GB2312" w:hAnsi="仿宋" w:eastAsia="仿宋_GB2312"/>
          <w:sz w:val="28"/>
          <w:szCs w:val="28"/>
        </w:rPr>
        <w:t>抄送：</w:t>
      </w:r>
      <w:r>
        <w:rPr>
          <w:rFonts w:hint="eastAsia" w:ascii="仿宋_GB2312" w:hAnsi="仿宋_GB2312" w:eastAsia="仿宋_GB2312"/>
          <w:color w:val="000000"/>
          <w:sz w:val="28"/>
          <w:szCs w:val="28"/>
        </w:rPr>
        <w:t>省人社厅、</w:t>
      </w:r>
      <w:r>
        <w:rPr>
          <w:rFonts w:hint="eastAsia" w:ascii="仿宋_GB2312" w:hAnsi="仿宋_GB2312" w:eastAsia="仿宋_GB2312"/>
          <w:color w:val="000000"/>
          <w:sz w:val="28"/>
          <w:szCs w:val="28"/>
          <w:lang w:eastAsia="zh-CN"/>
        </w:rPr>
        <w:t>农业农村厅、</w:t>
      </w:r>
      <w:r>
        <w:rPr>
          <w:rFonts w:hint="eastAsia" w:ascii="仿宋_GB2312" w:hAnsi="仿宋_GB2312" w:eastAsia="仿宋_GB2312"/>
          <w:sz w:val="28"/>
          <w:szCs w:val="28"/>
        </w:rPr>
        <w:t>民政厅、林业</w:t>
      </w:r>
      <w:r>
        <w:rPr>
          <w:rFonts w:hint="eastAsia" w:ascii="仿宋_GB2312" w:hAnsi="仿宋_GB2312" w:eastAsia="仿宋_GB2312"/>
          <w:sz w:val="28"/>
          <w:szCs w:val="28"/>
          <w:lang w:eastAsia="zh-CN"/>
        </w:rPr>
        <w:t>局</w:t>
      </w:r>
      <w:r>
        <w:rPr>
          <w:rFonts w:hint="eastAsia" w:ascii="仿宋_GB2312" w:hAnsi="仿宋_GB2312" w:eastAsia="仿宋_GB2312"/>
          <w:sz w:val="28"/>
          <w:szCs w:val="28"/>
        </w:rPr>
        <w:t>、</w:t>
      </w:r>
      <w:r>
        <w:rPr>
          <w:rFonts w:hint="eastAsia" w:ascii="仿宋_GB2312" w:hAnsi="仿宋_GB2312" w:eastAsia="仿宋_GB2312"/>
          <w:sz w:val="28"/>
          <w:szCs w:val="28"/>
          <w:u w:val="none"/>
        </w:rPr>
        <w:t>海洋渔业</w:t>
      </w:r>
      <w:r>
        <w:rPr>
          <w:rFonts w:hint="eastAsia" w:ascii="仿宋_GB2312" w:hAnsi="仿宋_GB2312" w:eastAsia="仿宋_GB2312"/>
          <w:sz w:val="28"/>
          <w:szCs w:val="28"/>
          <w:u w:val="none"/>
          <w:lang w:eastAsia="zh-CN"/>
        </w:rPr>
        <w:t>局</w:t>
      </w:r>
      <w:r>
        <w:rPr>
          <w:rFonts w:hint="eastAsia" w:ascii="仿宋_GB2312" w:hAnsi="仿宋_GB2312" w:eastAsia="仿宋_GB2312"/>
          <w:sz w:val="28"/>
          <w:szCs w:val="28"/>
        </w:rPr>
        <w:t>、粮</w:t>
      </w:r>
      <w:r>
        <w:rPr>
          <w:rFonts w:hint="eastAsia" w:ascii="仿宋_GB2312" w:hAnsi="仿宋_GB2312" w:eastAsia="仿宋_GB2312"/>
          <w:sz w:val="28"/>
          <w:szCs w:val="28"/>
          <w:lang w:eastAsia="zh-CN"/>
        </w:rPr>
        <w:t>储</w:t>
      </w:r>
      <w:r>
        <w:rPr>
          <w:rFonts w:hint="eastAsia" w:ascii="仿宋_GB2312" w:hAnsi="仿宋_GB2312" w:eastAsia="仿宋_GB2312"/>
          <w:sz w:val="28"/>
          <w:szCs w:val="28"/>
        </w:rPr>
        <w:t>局、</w:t>
      </w:r>
    </w:p>
    <w:p>
      <w:pPr>
        <w:spacing w:line="560" w:lineRule="exact"/>
        <w:ind w:left="838" w:leftChars="399" w:firstLine="280" w:firstLineChars="100"/>
        <w:rPr>
          <w:rFonts w:hint="eastAsia" w:ascii="仿宋_GB2312" w:hAnsi="仿宋_GB2312" w:eastAsia="仿宋_GB2312"/>
          <w:sz w:val="28"/>
          <w:szCs w:val="28"/>
          <w:lang w:eastAsia="zh-CN"/>
        </w:rPr>
      </w:pPr>
      <w:r>
        <w:rPr>
          <w:rFonts w:hint="eastAsia" w:ascii="仿宋_GB2312" w:hAnsi="仿宋_GB2312" w:eastAsia="仿宋_GB2312"/>
          <w:sz w:val="28"/>
          <w:szCs w:val="28"/>
        </w:rPr>
        <w:t>供销社、省交通运输集团有限公司、省海运集团责任有限公司</w:t>
      </w:r>
      <w:r>
        <w:rPr>
          <w:rFonts w:hint="eastAsia" w:ascii="仿宋_GB2312" w:hAnsi="仿宋_GB2312" w:eastAsia="仿宋_GB2312"/>
          <w:sz w:val="28"/>
          <w:szCs w:val="28"/>
          <w:lang w:eastAsia="zh-CN"/>
        </w:rPr>
        <w:t>、</w:t>
      </w:r>
    </w:p>
    <w:p>
      <w:pPr>
        <w:spacing w:line="560" w:lineRule="exact"/>
        <w:ind w:left="838" w:leftChars="399" w:firstLine="280" w:firstLineChars="100"/>
        <w:rPr>
          <w:rFonts w:hint="eastAsia" w:ascii="仿宋_GB2312" w:hAnsi="仿宋_GB2312" w:eastAsia="仿宋_GB2312"/>
          <w:sz w:val="28"/>
          <w:szCs w:val="28"/>
        </w:rPr>
      </w:pPr>
      <w:r>
        <w:rPr>
          <w:rFonts w:hint="eastAsia" w:ascii="仿宋_GB2312" w:hAnsi="仿宋_GB2312" w:eastAsia="仿宋_GB2312"/>
          <w:sz w:val="28"/>
          <w:szCs w:val="28"/>
          <w:lang w:eastAsia="zh-CN"/>
        </w:rPr>
        <w:t>福建广播电视大学</w:t>
      </w:r>
      <w:r>
        <w:rPr>
          <w:rFonts w:hint="eastAsia" w:ascii="仿宋_GB2312" w:hAnsi="仿宋_GB2312" w:eastAsia="仿宋_GB2312"/>
          <w:sz w:val="28"/>
          <w:szCs w:val="28"/>
        </w:rPr>
        <w:t>。</w:t>
      </w:r>
    </w:p>
    <w:p>
      <w:pPr>
        <w:spacing w:line="560" w:lineRule="exact"/>
        <w:ind w:right="-506" w:rightChars="-241" w:firstLine="280" w:firstLineChars="100"/>
        <w:rPr>
          <w:rFonts w:hint="eastAsia" w:ascii="仿宋_GB2312" w:hAnsi="仿宋" w:eastAsia="仿宋_GB2312"/>
          <w:sz w:val="28"/>
          <w:szCs w:val="28"/>
        </w:rPr>
      </w:pPr>
      <w:r>
        <w:rPr>
          <w:rFonts w:hint="eastAsia" w:ascii="仿宋_GB2312" w:hAnsi="仿宋" w:eastAsia="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50165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5pt;height:0pt;width:441pt;z-index:251665408;mso-width-relative:page;mso-height-relative:page;" filled="f" stroked="t" coordsize="21600,21600" o:gfxdata="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rC4pbRAAAABAEAAA8AAAAAAAAAAQAgAAAA&#10;IgAAAGRycy9kb3ducmV2LnhtbFBLAQIUABQAAAAIAIdO4kAR3hX/2QEAAJcDAAAOAAAAAAAAAAEA&#10;IAAAACABAABkcnMvZTJvRG9jLnhtbFBLBQYAAAAABgAGAFkBAABrBQAAAAA=&#10;">
                <v:fill on="f" focussize="0,0"/>
                <v:stroke weight="1.5pt" color="#000000" joinstyle="round"/>
                <v:imagedata o:title=""/>
                <o:lock v:ext="edit" aspectratio="f"/>
              </v:line>
            </w:pict>
          </mc:Fallback>
        </mc:AlternateContent>
      </w:r>
      <w:r>
        <w:rPr>
          <w:rFonts w:hint="eastAsia" w:ascii="仿宋_GB2312" w:hAnsi="仿宋" w:eastAsia="仿宋_GB2312"/>
          <w:sz w:val="28"/>
          <w:szCs w:val="28"/>
        </w:rPr>
        <w:t>福建省教育厅办公室                      201</w:t>
      </w:r>
      <w:r>
        <w:rPr>
          <w:rFonts w:hint="eastAsia" w:ascii="仿宋_GB2312" w:hAnsi="仿宋" w:eastAsia="仿宋_GB2312"/>
          <w:sz w:val="28"/>
          <w:szCs w:val="28"/>
          <w:lang w:val="en-US" w:eastAsia="zh-CN"/>
        </w:rPr>
        <w:t>9</w:t>
      </w:r>
      <w:r>
        <w:rPr>
          <w:rFonts w:hint="eastAsia" w:ascii="仿宋_GB2312" w:hAnsi="仿宋" w:eastAsia="仿宋_GB2312"/>
          <w:sz w:val="28"/>
          <w:szCs w:val="28"/>
        </w:rPr>
        <w:t>年</w:t>
      </w:r>
      <w:r>
        <w:rPr>
          <w:rFonts w:hint="eastAsia" w:ascii="仿宋_GB2312" w:hAnsi="仿宋" w:eastAsia="仿宋_GB2312"/>
          <w:sz w:val="28"/>
          <w:szCs w:val="28"/>
          <w:lang w:val="en-US" w:eastAsia="zh-CN"/>
        </w:rPr>
        <w:t>5</w:t>
      </w:r>
      <w:r>
        <w:rPr>
          <w:rFonts w:hint="eastAsia" w:ascii="仿宋_GB2312" w:hAnsi="仿宋" w:eastAsia="仿宋_GB2312"/>
          <w:sz w:val="28"/>
          <w:szCs w:val="28"/>
        </w:rPr>
        <w:t>月</w:t>
      </w:r>
      <w:r>
        <w:rPr>
          <w:rFonts w:hint="eastAsia" w:ascii="仿宋_GB2312" w:hAnsi="仿宋" w:eastAsia="仿宋_GB2312"/>
          <w:sz w:val="28"/>
          <w:szCs w:val="28"/>
          <w:lang w:val="en-US" w:eastAsia="zh-CN"/>
        </w:rPr>
        <w:t>21</w:t>
      </w:r>
      <w:r>
        <w:rPr>
          <w:rFonts w:hint="eastAsia" w:ascii="仿宋_GB2312" w:hAnsi="仿宋" w:eastAsia="仿宋_GB2312"/>
          <w:sz w:val="28"/>
          <w:szCs w:val="28"/>
        </w:rPr>
        <w:t>日印发</w:t>
      </w:r>
    </w:p>
    <w:p>
      <w:pPr>
        <w:rPr>
          <w:rFonts w:hint="eastAsia"/>
          <w:lang w:val="en-US" w:eastAsia="zh-CN"/>
        </w:rPr>
      </w:pPr>
      <w:r>
        <w:rPr>
          <w:rFonts w:hint="eastAsia" w:ascii="仿宋_GB2312" w:hAnsi="仿宋" w:eastAsia="仿宋_GB231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73025</wp:posOffset>
                </wp:positionV>
                <wp:extent cx="560070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5.75pt;height:0pt;width:441pt;z-index:251664384;mso-width-relative:page;mso-height-relative:page;" filled="f" stroked="t" coordsize="21600,21600" o:gfxdata="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EX+kdAAAAAGAQAADwAAAAAA&#10;AAABACAAAAAiAAAAZHJzL2Rvd25yZXYueG1sUEsBAhQAFAAAAAgAh07iQKqfw47iAQAAnwMAAA4A&#10;AAAAAAAAAQAgAAAAHwEAAGRycy9lMm9Eb2MueG1sUEsFBgAAAAAGAAYAWQEAAHMFAAAAAA==&#10;">
                <v:fill on="f" focussize="0,0"/>
                <v:stroke weight="1.5pt" color="#000000" joinstyle="round"/>
                <v:imagedata o:title=""/>
                <o:lock v:ext="edit" aspectratio="f"/>
              </v:shape>
            </w:pict>
          </mc:Fallback>
        </mc:AlternateContent>
      </w:r>
    </w:p>
    <w:sectPr>
      <w:pgSz w:w="11906" w:h="16838"/>
      <w:pgMar w:top="1440" w:right="1134" w:bottom="1440" w:left="113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MingLiU_HKSCS">
    <w:panose1 w:val="02020500000000000000"/>
    <w:charset w:val="88"/>
    <w:family w:val="roman"/>
    <w:pitch w:val="default"/>
    <w:sig w:usb0="A00002FF" w:usb1="38CFFCFA"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4DC92"/>
    <w:multiLevelType w:val="singleLevel"/>
    <w:tmpl w:val="5B04DC92"/>
    <w:lvl w:ilvl="0" w:tentative="0">
      <w:start w:val="2"/>
      <w:numFmt w:val="decimal"/>
      <w:suff w:val="nothing"/>
      <w:lvlText w:val="%1."/>
      <w:lvlJc w:val="left"/>
    </w:lvl>
  </w:abstractNum>
  <w:abstractNum w:abstractNumId="1">
    <w:nsid w:val="5B05154C"/>
    <w:multiLevelType w:val="singleLevel"/>
    <w:tmpl w:val="5B05154C"/>
    <w:lvl w:ilvl="0" w:tentative="0">
      <w:start w:val="2"/>
      <w:numFmt w:val="decimal"/>
      <w:suff w:val="nothing"/>
      <w:lvlText w:val="%1."/>
      <w:lvlJc w:val="left"/>
    </w:lvl>
  </w:abstractNum>
  <w:abstractNum w:abstractNumId="2">
    <w:nsid w:val="5CDA3EF7"/>
    <w:multiLevelType w:val="singleLevel"/>
    <w:tmpl w:val="5CDA3EF7"/>
    <w:lvl w:ilvl="0" w:tentative="0">
      <w:start w:val="8"/>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674D4"/>
    <w:rsid w:val="011A0A03"/>
    <w:rsid w:val="01485AB1"/>
    <w:rsid w:val="01550007"/>
    <w:rsid w:val="05943726"/>
    <w:rsid w:val="094D03B9"/>
    <w:rsid w:val="0BC54F58"/>
    <w:rsid w:val="10ED13C2"/>
    <w:rsid w:val="1529378A"/>
    <w:rsid w:val="169D2079"/>
    <w:rsid w:val="1AD21A50"/>
    <w:rsid w:val="22575162"/>
    <w:rsid w:val="24286D4D"/>
    <w:rsid w:val="25442B9F"/>
    <w:rsid w:val="2A101A97"/>
    <w:rsid w:val="31502BA9"/>
    <w:rsid w:val="32BD568D"/>
    <w:rsid w:val="34791210"/>
    <w:rsid w:val="36A52086"/>
    <w:rsid w:val="37A80660"/>
    <w:rsid w:val="389246BF"/>
    <w:rsid w:val="38D3339A"/>
    <w:rsid w:val="39781401"/>
    <w:rsid w:val="39A10406"/>
    <w:rsid w:val="3C371A85"/>
    <w:rsid w:val="3DFC46AB"/>
    <w:rsid w:val="3E05533A"/>
    <w:rsid w:val="40FE779D"/>
    <w:rsid w:val="41DC32E7"/>
    <w:rsid w:val="43684808"/>
    <w:rsid w:val="43A17528"/>
    <w:rsid w:val="44D02AFA"/>
    <w:rsid w:val="45737CCF"/>
    <w:rsid w:val="47F5136F"/>
    <w:rsid w:val="49386E92"/>
    <w:rsid w:val="4C2557D3"/>
    <w:rsid w:val="4CE42250"/>
    <w:rsid w:val="4F352B30"/>
    <w:rsid w:val="5055040C"/>
    <w:rsid w:val="51EE5AF0"/>
    <w:rsid w:val="5380189A"/>
    <w:rsid w:val="53ED6E20"/>
    <w:rsid w:val="54723DC2"/>
    <w:rsid w:val="56257E7D"/>
    <w:rsid w:val="563B3AEE"/>
    <w:rsid w:val="57B77A78"/>
    <w:rsid w:val="58570819"/>
    <w:rsid w:val="588341E0"/>
    <w:rsid w:val="59B523AC"/>
    <w:rsid w:val="5AB0192E"/>
    <w:rsid w:val="5B3943F0"/>
    <w:rsid w:val="5DA52806"/>
    <w:rsid w:val="5DDA2F52"/>
    <w:rsid w:val="5E1674D4"/>
    <w:rsid w:val="600A5703"/>
    <w:rsid w:val="60E6500F"/>
    <w:rsid w:val="62565803"/>
    <w:rsid w:val="62E47B48"/>
    <w:rsid w:val="63051BA8"/>
    <w:rsid w:val="636D3EA0"/>
    <w:rsid w:val="644E72F3"/>
    <w:rsid w:val="64B8227E"/>
    <w:rsid w:val="65FB6CFC"/>
    <w:rsid w:val="664A5975"/>
    <w:rsid w:val="66CD182F"/>
    <w:rsid w:val="6924616E"/>
    <w:rsid w:val="6B57157B"/>
    <w:rsid w:val="6E3E00C5"/>
    <w:rsid w:val="6F452AA5"/>
    <w:rsid w:val="70B04472"/>
    <w:rsid w:val="74371C80"/>
    <w:rsid w:val="74576424"/>
    <w:rsid w:val="751A35AD"/>
    <w:rsid w:val="780F4D51"/>
    <w:rsid w:val="78BD6071"/>
    <w:rsid w:val="7A7E0EB6"/>
    <w:rsid w:val="7D2035EA"/>
    <w:rsid w:val="7D2411EA"/>
    <w:rsid w:val="7E7D5CC8"/>
    <w:rsid w:val="7EBA7F81"/>
    <w:rsid w:val="7F674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szCs w:val="24"/>
    </w:rPr>
  </w:style>
  <w:style w:type="character" w:styleId="6">
    <w:name w:val="page number"/>
    <w:basedOn w:val="5"/>
    <w:qFormat/>
    <w:uiPriority w:val="0"/>
  </w:style>
  <w:style w:type="character" w:styleId="7">
    <w:name w:val="Hyperlink"/>
    <w:basedOn w:val="5"/>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2018-05-16T01:15:00Z</dcterms:created>
  <dc:creator>程征</dc:creator>
  <cp:lastModifiedBy>程征</cp:lastModifiedBy>
  <cp:lastPrinted>2019-05-21T01:04:03Z</cp:lastPrinted>
  <dcterms:modified xsi:type="dcterms:W3CDTF">2019-05-21T03:07:05Z</dcterms:modified>
  <dc:title>福建省教育厅关于做好2018年中等职业学校招生工作的通知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