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wordWrap/>
        <w:adjustRightInd w:val="0"/>
        <w:snapToGrid w:val="0"/>
        <w:spacing w:line="540" w:lineRule="atLeast"/>
        <w:ind w:left="0" w:leftChars="0" w:right="0" w:firstLine="0" w:firstLineChars="0"/>
        <w:jc w:val="center"/>
        <w:textAlignment w:val="auto"/>
        <w:outlineLvl w:val="9"/>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color w:val="FF0000"/>
          <w:spacing w:val="40"/>
          <w:w w:val="90"/>
          <w:kern w:val="15"/>
          <w:sz w:val="96"/>
          <w:szCs w:val="88"/>
        </w:rPr>
        <w:t>福建省教育厅文件</w:t>
      </w:r>
    </w:p>
    <w:p>
      <w:pPr>
        <w:widowControl w:val="0"/>
        <w:wordWrap/>
        <w:adjustRightInd w:val="0"/>
        <w:snapToGrid w:val="0"/>
        <w:spacing w:line="540" w:lineRule="atLeast"/>
        <w:ind w:left="0" w:leftChars="0" w:right="0" w:firstLine="0" w:firstLineChars="0"/>
        <w:jc w:val="center"/>
        <w:textAlignment w:val="auto"/>
        <w:outlineLvl w:val="9"/>
        <w:rPr>
          <w:rFonts w:hint="eastAsia" w:ascii="仿宋_GB2312" w:hAnsi="华文仿宋" w:eastAsia="仿宋_GB2312"/>
          <w:sz w:val="32"/>
          <w:szCs w:val="32"/>
        </w:rPr>
      </w:pPr>
    </w:p>
    <w:p>
      <w:pPr>
        <w:widowControl w:val="0"/>
        <w:wordWrap/>
        <w:adjustRightInd w:val="0"/>
        <w:snapToGrid w:val="0"/>
        <w:spacing w:line="540" w:lineRule="atLeast"/>
        <w:ind w:left="0" w:leftChars="0" w:right="0" w:firstLine="0" w:firstLineChars="0"/>
        <w:jc w:val="center"/>
        <w:textAlignment w:val="auto"/>
        <w:outlineLvl w:val="9"/>
        <w:rPr>
          <w:rFonts w:hint="eastAsia" w:ascii="仿宋_GB2312" w:eastAsia="仿宋_GB2312"/>
          <w:sz w:val="32"/>
          <w:szCs w:val="32"/>
        </w:rPr>
      </w:pPr>
      <w:r>
        <w:rPr>
          <w:rFonts w:hint="eastAsia" w:ascii="仿宋_GB2312" w:hAnsi="华文仿宋" w:eastAsia="仿宋_GB2312"/>
          <w:sz w:val="32"/>
          <w:szCs w:val="32"/>
        </w:rPr>
        <w:t>闽教学〔</w:t>
      </w:r>
      <w:r>
        <w:rPr>
          <w:rFonts w:ascii="仿宋_GB2312" w:hAnsi="华文仿宋" w:eastAsia="仿宋_GB2312"/>
          <w:sz w:val="32"/>
          <w:szCs w:val="32"/>
        </w:rPr>
        <w:t>20</w:t>
      </w:r>
      <w:r>
        <w:rPr>
          <w:rFonts w:hint="eastAsia" w:ascii="仿宋_GB2312" w:hAnsi="华文仿宋" w:eastAsia="仿宋_GB2312"/>
          <w:sz w:val="32"/>
          <w:szCs w:val="32"/>
          <w:lang w:val="en-US" w:eastAsia="zh-CN"/>
        </w:rPr>
        <w:t>20</w:t>
      </w:r>
      <w:r>
        <w:rPr>
          <w:rFonts w:ascii="仿宋_GB2312" w:hAnsi="华文仿宋" w:eastAsia="仿宋_GB2312"/>
          <w:sz w:val="32"/>
          <w:szCs w:val="32"/>
        </w:rPr>
        <w:t>〕</w:t>
      </w:r>
      <w:r>
        <w:rPr>
          <w:rFonts w:hint="eastAsia" w:ascii="仿宋_GB2312" w:hAnsi="华文仿宋" w:eastAsia="仿宋_GB2312"/>
          <w:sz w:val="32"/>
          <w:szCs w:val="32"/>
          <w:lang w:val="en-US" w:eastAsia="zh-CN"/>
        </w:rPr>
        <w:t>20</w:t>
      </w:r>
      <w:r>
        <w:rPr>
          <w:rFonts w:hint="eastAsia" w:ascii="仿宋_GB2312" w:eastAsia="仿宋_GB2312"/>
          <w:sz w:val="32"/>
          <w:szCs w:val="32"/>
        </w:rPr>
        <w:t>号</w:t>
      </w:r>
    </w:p>
    <w:p>
      <w:pPr>
        <w:widowControl w:val="0"/>
        <w:wordWrap/>
        <w:adjustRightInd w:val="0"/>
        <w:snapToGrid w:val="0"/>
        <w:spacing w:line="540" w:lineRule="atLeast"/>
        <w:ind w:left="0" w:leftChars="0" w:right="0" w:firstLine="0" w:firstLineChars="0"/>
        <w:jc w:val="both"/>
        <w:textAlignment w:val="auto"/>
        <w:outlineLvl w:val="9"/>
        <w:rPr>
          <w:rFonts w:hint="eastAsia" w:ascii="方正小标宋_GBK" w:eastAsia="方正小标宋_GBK"/>
          <w:lang w:eastAsia="zh-CN"/>
        </w:rPr>
      </w:pPr>
      <w:r>
        <w:rPr>
          <w:rFonts w:hint="eastAsia" w:ascii="方正小标宋_GBK" w:hAnsi="Calibri" w:eastAsia="方正小标宋_GBK"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106045</wp:posOffset>
                </wp:positionV>
                <wp:extent cx="5534025" cy="635"/>
                <wp:effectExtent l="0" t="12700" r="9525" b="15240"/>
                <wp:wrapNone/>
                <wp:docPr id="3" name="直接箭头连接符 3"/>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95pt;margin-top:8.35pt;height:0.05pt;width:435.75pt;z-index:251662336;mso-width-relative:page;mso-height-relative:page;" fillcolor="#FFFFFF" filled="t" o:preferrelative="t" stroked="t" coordsize="21600,21600" o:gfxdata="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e/TjY&#10;AAAACQEAAA8AAAAAAAAAAQAgAAAAIgAAAGRycy9kb3ducmV2LnhtbFBLAQIUABQAAAAIAIdO4kBq&#10;ukJI5wEAAKEDAAAOAAAAAAAAAAEAIAAAACcBAABkcnMvZTJvRG9jLnhtbFBLBQYAAAAABgAGAFkB&#10;AACABQAAAAA=&#10;">
                <v:path arrowok="t"/>
                <v:fill on="t" focussize="0,0"/>
                <v:stroke weight="2pt" color="#FF0000" color2="#FFFFFF" miterlimit="2"/>
                <v:imagedata gain="65536f" blacklevel="0f" gamma="0" o:title=""/>
                <o:lock v:ext="edit" position="f" selection="f" grouping="f" rotation="f" cropping="f" text="f" aspectratio="f"/>
              </v:shape>
            </w:pict>
          </mc:Fallback>
        </mc:AlternateContent>
      </w:r>
    </w:p>
    <w:p>
      <w:pPr>
        <w:pStyle w:val="2"/>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福建省教育厅关于做好2020年面向中等</w:t>
      </w:r>
    </w:p>
    <w:p>
      <w:pPr>
        <w:pStyle w:val="2"/>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职业学校毕业考生高职院校分类考试</w:t>
      </w:r>
    </w:p>
    <w:p>
      <w:pPr>
        <w:pStyle w:val="2"/>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招生有关工作的通知</w:t>
      </w:r>
    </w:p>
    <w:p>
      <w:pPr>
        <w:wordWrap/>
        <w:spacing w:line="580" w:lineRule="exact"/>
        <w:ind w:left="0" w:leftChars="0" w:right="0" w:firstLine="640" w:firstLineChars="200"/>
        <w:textAlignment w:val="auto"/>
        <w:rPr>
          <w:rFonts w:hint="eastAsia" w:ascii="仿宋_GB2312" w:hAnsi="仿宋_GB2312" w:eastAsia="仿宋_GB2312" w:cs="仿宋_GB2312"/>
          <w:sz w:val="32"/>
          <w:szCs w:val="32"/>
          <w:lang w:eastAsia="zh-CN"/>
        </w:rPr>
      </w:pPr>
    </w:p>
    <w:p>
      <w:pPr>
        <w:wordWrap/>
        <w:adjustRightInd/>
        <w:snapToGrid/>
        <w:spacing w:line="600" w:lineRule="exact"/>
        <w:ind w:left="0" w:leftChars="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各市、县（区）教育局，平潭综合实验区社会事业局，有关本科普通高校，各高职院校，省属中等职业学校：</w:t>
      </w:r>
    </w:p>
    <w:p>
      <w:pPr>
        <w:wordWrap/>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为全面落实《</w:t>
      </w:r>
      <w:r>
        <w:rPr>
          <w:rFonts w:hint="eastAsia" w:ascii="仿宋_GB2312" w:hAnsi="仿宋_GB2312" w:eastAsia="仿宋_GB2312" w:cs="仿宋_GB2312"/>
          <w:color w:val="333333"/>
          <w:sz w:val="32"/>
          <w:szCs w:val="32"/>
          <w:shd w:val="clear" w:color="auto" w:fill="FFFFFF"/>
          <w:lang w:eastAsia="zh-CN"/>
        </w:rPr>
        <w:t>福建省人民政府</w:t>
      </w:r>
      <w:r>
        <w:rPr>
          <w:rFonts w:hint="eastAsia" w:ascii="仿宋_GB2312" w:hAnsi="仿宋_GB2312" w:eastAsia="仿宋_GB2312" w:cs="仿宋_GB2312"/>
          <w:sz w:val="32"/>
          <w:szCs w:val="32"/>
          <w:lang w:eastAsia="zh-CN"/>
        </w:rPr>
        <w:t>关于印发福建省深化高等学校考试招生综合改革实施方案的通知》（闽政〔2019〕5 号），完善“文化素质+职业技能”的评价方式和选拔制度，确保高职院校分类考试招生（以下简称“高职分类招考”）工作公平公正、规范有序，根据《教育部关于应对新冠肺炎疫情稳妥做好2020年全国普通高校招生工作的通知》（教电〔2020〕150号）和《福建省教育厅关于印发福建省高职院校分类考试招生改革实施办法的通知》（闽教学〔2019〕35号），结合我省实际，现将做好</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面向中等职业学校毕业考生高职分类招考有关工作通知如下。</w:t>
      </w:r>
    </w:p>
    <w:p>
      <w:pPr>
        <w:wordWrap/>
        <w:adjustRightInd/>
        <w:snapToGrid/>
        <w:spacing w:line="600" w:lineRule="exact"/>
        <w:ind w:left="0" w:leftChars="0" w:right="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一、强化</w:t>
      </w:r>
      <w:r>
        <w:rPr>
          <w:rFonts w:hint="eastAsia" w:ascii="黑体" w:hAnsi="黑体" w:eastAsia="黑体" w:cs="黑体"/>
          <w:b w:val="0"/>
          <w:bCs w:val="0"/>
          <w:sz w:val="32"/>
          <w:szCs w:val="32"/>
          <w:lang w:val="en-US" w:eastAsia="zh-CN"/>
        </w:rPr>
        <w:t>疫情防控措施</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leftChars="0" w:right="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1.</w:t>
      </w:r>
      <w:r>
        <w:rPr>
          <w:rFonts w:hint="default" w:ascii="楷体" w:hAnsi="楷体" w:eastAsia="楷体" w:cs="楷体"/>
          <w:b/>
          <w:bCs/>
          <w:kern w:val="2"/>
          <w:sz w:val="32"/>
          <w:szCs w:val="32"/>
          <w:lang w:val="en-US" w:eastAsia="zh-CN" w:bidi="ar-SA"/>
        </w:rPr>
        <w:t>明确</w:t>
      </w:r>
      <w:r>
        <w:rPr>
          <w:rFonts w:hint="eastAsia" w:ascii="楷体" w:hAnsi="楷体" w:eastAsia="楷体" w:cs="楷体"/>
          <w:b/>
          <w:bCs/>
          <w:kern w:val="2"/>
          <w:sz w:val="32"/>
          <w:szCs w:val="32"/>
          <w:lang w:val="en-US" w:eastAsia="zh-CN" w:bidi="ar-SA"/>
        </w:rPr>
        <w:t>疫情防控责任。</w:t>
      </w:r>
      <w:r>
        <w:rPr>
          <w:rFonts w:hint="default"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lang w:val="en-US" w:eastAsia="zh-CN"/>
        </w:rPr>
        <w:t>我省</w:t>
      </w:r>
      <w:r>
        <w:rPr>
          <w:rFonts w:hint="default" w:ascii="仿宋_GB2312" w:hAnsi="仿宋_GB2312" w:eastAsia="仿宋_GB2312" w:cs="仿宋_GB2312"/>
          <w:sz w:val="32"/>
          <w:szCs w:val="32"/>
          <w:lang w:val="en-US" w:eastAsia="zh-CN"/>
        </w:rPr>
        <w:t>疫情传播已基本阻断，但</w:t>
      </w:r>
      <w:r>
        <w:rPr>
          <w:rFonts w:hint="eastAsia" w:ascii="仿宋_GB2312" w:hAnsi="仿宋_GB2312" w:eastAsia="仿宋_GB2312" w:cs="仿宋_GB2312"/>
          <w:sz w:val="32"/>
          <w:szCs w:val="32"/>
          <w:lang w:val="en-US" w:eastAsia="zh-CN"/>
        </w:rPr>
        <w:t>境外疫情</w:t>
      </w:r>
      <w:r>
        <w:rPr>
          <w:rFonts w:hint="default" w:ascii="仿宋_GB2312" w:hAnsi="仿宋_GB2312" w:eastAsia="仿宋_GB2312" w:cs="仿宋_GB2312"/>
          <w:sz w:val="32"/>
          <w:szCs w:val="32"/>
          <w:lang w:val="en-US" w:eastAsia="zh-CN"/>
        </w:rPr>
        <w:t>输入</w:t>
      </w:r>
      <w:r>
        <w:rPr>
          <w:rFonts w:hint="eastAsia" w:ascii="仿宋_GB2312" w:hAnsi="仿宋_GB2312" w:eastAsia="仿宋_GB2312" w:cs="仿宋_GB2312"/>
          <w:sz w:val="32"/>
          <w:szCs w:val="32"/>
          <w:lang w:val="en-US" w:eastAsia="zh-CN"/>
        </w:rPr>
        <w:t>面临严峻形势</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高职分类招考职业技能测试考点分散，大部分考生需异地赴考，</w:t>
      </w:r>
      <w:r>
        <w:rPr>
          <w:rFonts w:hint="default"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val="en-US" w:eastAsia="zh-CN"/>
        </w:rPr>
        <w:t>高职分类招考</w:t>
      </w:r>
      <w:r>
        <w:rPr>
          <w:rFonts w:hint="default" w:ascii="仿宋_GB2312" w:hAnsi="仿宋_GB2312" w:eastAsia="仿宋_GB2312" w:cs="仿宋_GB2312"/>
          <w:sz w:val="32"/>
          <w:szCs w:val="32"/>
          <w:lang w:val="en-US" w:eastAsia="zh-CN"/>
        </w:rPr>
        <w:t>面临</w:t>
      </w:r>
      <w:r>
        <w:rPr>
          <w:rFonts w:hint="eastAsia" w:ascii="仿宋_GB2312" w:hAnsi="仿宋_GB2312" w:eastAsia="仿宋_GB2312" w:cs="仿宋_GB2312"/>
          <w:sz w:val="32"/>
          <w:szCs w:val="32"/>
          <w:lang w:val="en-US" w:eastAsia="zh-CN"/>
        </w:rPr>
        <w:t>复杂严峻的</w:t>
      </w:r>
      <w:r>
        <w:rPr>
          <w:rFonts w:hint="default" w:ascii="仿宋_GB2312" w:hAnsi="仿宋_GB2312" w:eastAsia="仿宋_GB2312" w:cs="仿宋_GB2312"/>
          <w:sz w:val="32"/>
          <w:szCs w:val="32"/>
          <w:lang w:val="en-US" w:eastAsia="zh-CN"/>
        </w:rPr>
        <w:t>特殊形势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各职业技能测试主考高职院校（名单见附件，以下简称“主考院校”）肩负着特殊时期的特殊使命，</w:t>
      </w:r>
      <w:r>
        <w:rPr>
          <w:rFonts w:hint="default" w:ascii="仿宋_GB2312" w:hAnsi="仿宋_GB2312" w:eastAsia="仿宋_GB2312" w:cs="仿宋_GB2312"/>
          <w:sz w:val="32"/>
          <w:szCs w:val="32"/>
          <w:lang w:val="en-US" w:eastAsia="zh-CN"/>
        </w:rPr>
        <w:t>要强化政治担当，坚决落实主体责任</w:t>
      </w:r>
      <w:r>
        <w:rPr>
          <w:rFonts w:hint="eastAsia" w:ascii="仿宋_GB2312" w:hAnsi="仿宋_GB2312" w:eastAsia="仿宋_GB2312" w:cs="仿宋_GB2312"/>
          <w:sz w:val="32"/>
          <w:szCs w:val="32"/>
          <w:lang w:val="en-US" w:eastAsia="zh-CN"/>
        </w:rPr>
        <w:t>，进一步增强统筹抓好疫情防控和考试组织工作的责任感和紧迫感，</w:t>
      </w:r>
      <w:r>
        <w:rPr>
          <w:rFonts w:hint="eastAsia" w:ascii="仿宋_GB2312" w:hAnsi="仿宋_GB2312" w:eastAsia="仿宋_GB2312" w:cs="仿宋_GB2312"/>
          <w:sz w:val="32"/>
          <w:szCs w:val="32"/>
        </w:rPr>
        <w:t>把广大</w:t>
      </w:r>
      <w:r>
        <w:rPr>
          <w:rFonts w:hint="eastAsia" w:ascii="仿宋_GB2312" w:hAnsi="仿宋_GB2312" w:eastAsia="仿宋_GB2312" w:cs="仿宋_GB2312"/>
          <w:sz w:val="32"/>
          <w:szCs w:val="32"/>
          <w:lang w:eastAsia="zh-CN"/>
        </w:rPr>
        <w:t>考生和涉考工作人员的</w:t>
      </w:r>
      <w:r>
        <w:rPr>
          <w:rFonts w:hint="eastAsia" w:ascii="仿宋_GB2312" w:hAnsi="仿宋_GB2312" w:eastAsia="仿宋_GB2312" w:cs="仿宋_GB2312"/>
          <w:sz w:val="32"/>
          <w:szCs w:val="32"/>
        </w:rPr>
        <w:t>生命安全和身体健康放在第一位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坚持安全第一、生命至上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严格落实疫情防控</w:t>
      </w:r>
      <w:r>
        <w:rPr>
          <w:rFonts w:hint="eastAsia" w:ascii="仿宋_GB2312" w:hAnsi="仿宋_GB2312" w:eastAsia="仿宋_GB2312" w:cs="仿宋_GB2312"/>
          <w:sz w:val="32"/>
          <w:szCs w:val="32"/>
          <w:lang w:eastAsia="zh-CN"/>
        </w:rPr>
        <w:t>和高校招生</w:t>
      </w:r>
      <w:r>
        <w:rPr>
          <w:rFonts w:hint="eastAsia" w:ascii="仿宋_GB2312" w:hAnsi="仿宋_GB2312" w:eastAsia="仿宋_GB2312" w:cs="仿宋_GB2312"/>
          <w:sz w:val="32"/>
          <w:szCs w:val="32"/>
        </w:rPr>
        <w:t>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严之又严、慎之又慎、细之又细，切实织密织牢考试期间校园疫情防护网，</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过程中的疫情防控工作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保证</w:t>
      </w:r>
      <w:r>
        <w:rPr>
          <w:rFonts w:hint="eastAsia" w:ascii="仿宋_GB2312" w:hAnsi="仿宋_GB2312" w:eastAsia="仿宋_GB2312" w:cs="仿宋_GB2312"/>
          <w:sz w:val="32"/>
          <w:szCs w:val="32"/>
          <w:lang w:val="en-US" w:eastAsia="zh-CN"/>
        </w:rPr>
        <w:t>职业技能测试</w:t>
      </w:r>
      <w:r>
        <w:rPr>
          <w:rFonts w:hint="default" w:ascii="仿宋_GB2312" w:hAnsi="仿宋_GB2312" w:eastAsia="仿宋_GB2312" w:cs="仿宋_GB2312"/>
          <w:sz w:val="32"/>
          <w:szCs w:val="32"/>
          <w:lang w:val="en-US" w:eastAsia="zh-CN"/>
        </w:rPr>
        <w:t>公平公正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平稳有序。</w:t>
      </w:r>
      <w:r>
        <w:rPr>
          <w:rFonts w:hint="eastAsia" w:ascii="仿宋_GB2312" w:hAnsi="仿宋_GB2312" w:eastAsia="仿宋_GB2312" w:cs="仿宋_GB2312"/>
          <w:sz w:val="32"/>
          <w:szCs w:val="32"/>
          <w:lang w:val="en-US" w:eastAsia="zh-CN"/>
        </w:rPr>
        <w:t>主考院校所在地教育行政部门要切实担起主管责任，在当地应对疫情工作领导小组统筹领导下，将高职分类招考职业技能测试工作纳入当地疫情联防联控重点，主动协调卫生健康、公安、交通、市场监督等部门，为主考院校疫情防控工作提供有力保障。</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leftChars="0" w:right="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2.落实疫情防控措施。</w:t>
      </w:r>
      <w:r>
        <w:rPr>
          <w:rFonts w:hint="eastAsia" w:ascii="仿宋_GB2312" w:hAnsi="仿宋_GB2312" w:eastAsia="仿宋_GB2312" w:cs="仿宋_GB2312"/>
          <w:sz w:val="32"/>
          <w:szCs w:val="32"/>
          <w:lang w:val="en-US" w:eastAsia="zh-CN"/>
        </w:rPr>
        <w:t>各主考院校要</w:t>
      </w:r>
      <w:r>
        <w:rPr>
          <w:rFonts w:hint="eastAsia" w:ascii="仿宋_GB2312" w:hAnsi="仿宋_GB2312" w:eastAsia="仿宋_GB2312" w:cs="仿宋_GB2312"/>
          <w:sz w:val="32"/>
          <w:szCs w:val="32"/>
        </w:rPr>
        <w:t>按照精准防控、错时错峰、防止聚集的要求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采取有效措施降低人员密度，</w:t>
      </w:r>
      <w:r>
        <w:rPr>
          <w:rFonts w:hint="eastAsia" w:ascii="仿宋_GB2312" w:hAnsi="仿宋_GB2312" w:eastAsia="仿宋_GB2312" w:cs="仿宋_GB2312"/>
          <w:sz w:val="32"/>
          <w:szCs w:val="32"/>
          <w:lang w:val="en-US" w:eastAsia="zh-CN"/>
        </w:rPr>
        <w:t>制定职业技能测试</w:t>
      </w:r>
      <w:r>
        <w:rPr>
          <w:rFonts w:hint="default" w:ascii="仿宋_GB2312" w:hAnsi="仿宋_GB2312" w:eastAsia="仿宋_GB2312" w:cs="仿宋_GB2312"/>
          <w:sz w:val="32"/>
          <w:szCs w:val="32"/>
          <w:lang w:val="en-US" w:eastAsia="zh-CN"/>
        </w:rPr>
        <w:t>疫情防控工作</w:t>
      </w:r>
      <w:r>
        <w:rPr>
          <w:rFonts w:hint="eastAsia" w:ascii="仿宋_GB2312" w:hAnsi="仿宋_GB2312" w:eastAsia="仿宋_GB2312" w:cs="仿宋_GB2312"/>
          <w:sz w:val="32"/>
          <w:szCs w:val="32"/>
          <w:lang w:val="en-US" w:eastAsia="zh-CN"/>
        </w:rPr>
        <w:t>实施方案，确保</w:t>
      </w:r>
      <w:r>
        <w:rPr>
          <w:rFonts w:hint="default" w:ascii="仿宋_GB2312" w:hAnsi="仿宋_GB2312" w:eastAsia="仿宋_GB2312" w:cs="仿宋_GB2312"/>
          <w:sz w:val="32"/>
          <w:szCs w:val="32"/>
          <w:lang w:val="en-US" w:eastAsia="zh-CN"/>
        </w:rPr>
        <w:t>考点考场、命题场所、制卷场所</w:t>
      </w:r>
      <w:r>
        <w:rPr>
          <w:rFonts w:hint="eastAsia" w:ascii="仿宋_GB2312" w:hAnsi="仿宋_GB2312" w:eastAsia="仿宋_GB2312" w:cs="仿宋_GB2312"/>
          <w:sz w:val="32"/>
          <w:szCs w:val="32"/>
          <w:lang w:val="en-US" w:eastAsia="zh-CN"/>
        </w:rPr>
        <w:t>、评卷场所</w:t>
      </w:r>
      <w:r>
        <w:rPr>
          <w:rFonts w:hint="default" w:ascii="仿宋_GB2312" w:hAnsi="仿宋_GB2312" w:eastAsia="仿宋_GB2312" w:cs="仿宋_GB2312"/>
          <w:sz w:val="32"/>
          <w:szCs w:val="32"/>
          <w:lang w:val="en-US" w:eastAsia="zh-CN"/>
        </w:rPr>
        <w:t>的防疫措施</w:t>
      </w:r>
      <w:r>
        <w:rPr>
          <w:rFonts w:hint="eastAsia" w:ascii="仿宋_GB2312" w:hAnsi="仿宋_GB2312" w:eastAsia="仿宋_GB2312" w:cs="仿宋_GB2312"/>
          <w:sz w:val="32"/>
          <w:szCs w:val="32"/>
          <w:lang w:val="en-US" w:eastAsia="zh-CN"/>
        </w:rPr>
        <w:t>落到实处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考试之前，要全面排查、精准掌握考生和工作人员的健康状况，确保全覆盖、无遗漏。</w:t>
      </w:r>
      <w:r>
        <w:rPr>
          <w:rFonts w:hint="eastAsia" w:ascii="仿宋_GB2312" w:eastAsia="仿宋_GB2312"/>
          <w:sz w:val="32"/>
          <w:szCs w:val="32"/>
        </w:rPr>
        <w:t>对来自重点地区或境外返回、体温有异常或有疑似症状的</w:t>
      </w:r>
      <w:r>
        <w:rPr>
          <w:rFonts w:hint="eastAsia" w:ascii="仿宋_GB2312" w:eastAsia="仿宋_GB2312"/>
          <w:sz w:val="32"/>
          <w:szCs w:val="32"/>
          <w:lang w:eastAsia="zh-CN"/>
        </w:rPr>
        <w:t>考生要进行重点筛查</w:t>
      </w:r>
      <w:r>
        <w:rPr>
          <w:rFonts w:hint="eastAsia" w:ascii="仿宋_GB2312" w:eastAsia="仿宋_GB2312"/>
          <w:sz w:val="32"/>
          <w:szCs w:val="32"/>
        </w:rPr>
        <w:t>,</w:t>
      </w:r>
      <w:r>
        <w:rPr>
          <w:rFonts w:hint="eastAsia" w:ascii="仿宋_GB2312" w:eastAsia="仿宋_GB2312"/>
          <w:sz w:val="32"/>
          <w:szCs w:val="32"/>
          <w:lang w:eastAsia="zh-CN"/>
        </w:rPr>
        <w:t>要求提供考前</w:t>
      </w:r>
      <w:r>
        <w:rPr>
          <w:rFonts w:hint="eastAsia" w:ascii="仿宋_GB2312" w:eastAsia="仿宋_GB2312"/>
          <w:sz w:val="32"/>
          <w:szCs w:val="32"/>
          <w:lang w:val="en-US" w:eastAsia="zh-CN"/>
        </w:rPr>
        <w:t>7天内核酸检测阴性证明。考试期间，严格实行校园封闭式管理，所有考生进入校园（考场）一律核验身份、检测体温并佩戴口罩。</w:t>
      </w:r>
      <w:r>
        <w:rPr>
          <w:rFonts w:hint="default" w:ascii="仿宋_GB2312" w:hAnsi="仿宋_GB2312" w:eastAsia="仿宋_GB2312" w:cs="仿宋_GB2312"/>
          <w:sz w:val="32"/>
          <w:szCs w:val="32"/>
          <w:lang w:val="en-US" w:eastAsia="zh-CN"/>
        </w:rPr>
        <w:t>对考试场所</w:t>
      </w:r>
      <w:r>
        <w:rPr>
          <w:rFonts w:hint="eastAsia" w:ascii="仿宋_GB2312" w:hAnsi="仿宋_GB2312" w:eastAsia="仿宋_GB2312" w:cs="仿宋_GB2312"/>
          <w:sz w:val="32"/>
          <w:szCs w:val="32"/>
          <w:lang w:val="en-US" w:eastAsia="zh-CN"/>
        </w:rPr>
        <w:t>和设施设备</w:t>
      </w:r>
      <w:r>
        <w:rPr>
          <w:rFonts w:hint="default" w:ascii="仿宋_GB2312" w:hAnsi="仿宋_GB2312" w:eastAsia="仿宋_GB2312" w:cs="仿宋_GB2312"/>
          <w:sz w:val="32"/>
          <w:szCs w:val="32"/>
          <w:lang w:val="en-US" w:eastAsia="zh-CN"/>
        </w:rPr>
        <w:t>逐一进行消毒，保证环境卫生和良好通风</w:t>
      </w:r>
      <w:r>
        <w:rPr>
          <w:rFonts w:hint="eastAsia" w:ascii="仿宋_GB2312" w:hAnsi="仿宋_GB2312" w:eastAsia="仿宋_GB2312" w:cs="仿宋_GB2312"/>
          <w:sz w:val="32"/>
          <w:szCs w:val="32"/>
          <w:lang w:val="en-US" w:eastAsia="zh-CN"/>
        </w:rPr>
        <w:t>。制定考试期间突发疫情防控预案，</w:t>
      </w:r>
      <w:r>
        <w:rPr>
          <w:rFonts w:hint="default" w:ascii="仿宋_GB2312" w:hAnsi="仿宋_GB2312" w:eastAsia="仿宋_GB2312" w:cs="仿宋_GB2312"/>
          <w:sz w:val="32"/>
          <w:szCs w:val="32"/>
          <w:lang w:val="en-US" w:eastAsia="zh-CN"/>
        </w:rPr>
        <w:t>设置具备防护隔离措施的特殊通道、专用隔离考场和备用考场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对考务人员开展新冠肺炎疫情防疫和考试安全培训。</w:t>
      </w:r>
      <w:r>
        <w:rPr>
          <w:rFonts w:hint="eastAsia" w:ascii="仿宋_GB2312" w:hAnsi="仿宋_GB2312" w:eastAsia="仿宋_GB2312" w:cs="仿宋_GB2312"/>
          <w:sz w:val="32"/>
          <w:szCs w:val="32"/>
          <w:lang w:val="en-US" w:eastAsia="zh-CN"/>
        </w:rPr>
        <w:t>主考院校要将承担职业技能测试任务的合作院校疫情防控和考试安排纳入统一管理，并指导督促合作院校落实各项防控措施。各主考院校制定的职业技能测试</w:t>
      </w:r>
      <w:r>
        <w:rPr>
          <w:rFonts w:hint="default" w:ascii="仿宋_GB2312" w:hAnsi="仿宋_GB2312" w:eastAsia="仿宋_GB2312" w:cs="仿宋_GB2312"/>
          <w:sz w:val="32"/>
          <w:szCs w:val="32"/>
          <w:lang w:val="en-US" w:eastAsia="zh-CN"/>
        </w:rPr>
        <w:t>疫情防控工作</w:t>
      </w:r>
      <w:r>
        <w:rPr>
          <w:rFonts w:hint="eastAsia" w:ascii="仿宋_GB2312" w:hAnsi="仿宋_GB2312" w:eastAsia="仿宋_GB2312" w:cs="仿宋_GB2312"/>
          <w:sz w:val="32"/>
          <w:szCs w:val="32"/>
          <w:lang w:val="en-US" w:eastAsia="zh-CN"/>
        </w:rPr>
        <w:t>实施</w:t>
      </w:r>
      <w:r>
        <w:rPr>
          <w:rFonts w:hint="default" w:ascii="仿宋_GB2312" w:hAnsi="仿宋_GB2312" w:eastAsia="仿宋_GB2312" w:cs="仿宋_GB2312"/>
          <w:sz w:val="32"/>
          <w:szCs w:val="32"/>
          <w:lang w:val="en-US" w:eastAsia="zh-CN"/>
        </w:rPr>
        <w:t>方案报</w:t>
      </w:r>
      <w:r>
        <w:rPr>
          <w:rFonts w:hint="eastAsia" w:ascii="仿宋_GB2312" w:hAnsi="仿宋_GB2312" w:eastAsia="仿宋_GB2312" w:cs="仿宋_GB2312"/>
          <w:sz w:val="32"/>
          <w:szCs w:val="32"/>
          <w:lang w:val="en-US" w:eastAsia="zh-CN"/>
        </w:rPr>
        <w:t>当地教育行政部门</w:t>
      </w:r>
      <w:r>
        <w:rPr>
          <w:rFonts w:hint="default" w:ascii="仿宋_GB2312" w:hAnsi="仿宋_GB2312" w:eastAsia="仿宋_GB2312" w:cs="仿宋_GB2312"/>
          <w:sz w:val="32"/>
          <w:szCs w:val="32"/>
          <w:lang w:val="en-US" w:eastAsia="zh-CN"/>
        </w:rPr>
        <w:t>审定</w:t>
      </w:r>
      <w:r>
        <w:rPr>
          <w:rFonts w:hint="eastAsia" w:ascii="仿宋_GB2312" w:hAnsi="仿宋_GB2312" w:eastAsia="仿宋_GB2312" w:cs="仿宋_GB2312"/>
          <w:sz w:val="32"/>
          <w:szCs w:val="32"/>
          <w:lang w:val="en-US" w:eastAsia="zh-CN"/>
        </w:rPr>
        <w:t>并报我厅备案</w:t>
      </w:r>
      <w:r>
        <w:rPr>
          <w:rFonts w:hint="default" w:ascii="仿宋_GB2312" w:hAnsi="仿宋_GB2312" w:eastAsia="仿宋_GB2312" w:cs="仿宋_GB2312"/>
          <w:sz w:val="32"/>
          <w:szCs w:val="32"/>
          <w:lang w:val="en-US" w:eastAsia="zh-CN"/>
        </w:rPr>
        <w:t>后实施。</w:t>
      </w:r>
    </w:p>
    <w:p>
      <w:pPr>
        <w:wordWrap/>
        <w:adjustRightInd/>
        <w:snapToGrid/>
        <w:spacing w:line="600" w:lineRule="exact"/>
        <w:ind w:left="0" w:leftChars="0" w:right="0" w:firstLine="640" w:firstLineChars="200"/>
        <w:jc w:val="both"/>
        <w:textAlignment w:val="auto"/>
        <w:rPr>
          <w:rFonts w:hint="eastAsia" w:ascii="楷体" w:hAnsi="楷体" w:eastAsia="楷体" w:cs="楷体"/>
          <w:b/>
          <w:bCs/>
          <w:kern w:val="2"/>
          <w:sz w:val="32"/>
          <w:szCs w:val="32"/>
          <w:lang w:val="en-US" w:eastAsia="zh-CN" w:bidi="ar-SA"/>
        </w:rPr>
      </w:pPr>
      <w:r>
        <w:rPr>
          <w:rFonts w:hint="eastAsia" w:ascii="黑体" w:hAnsi="黑体" w:eastAsia="黑体" w:cs="黑体"/>
          <w:b w:val="0"/>
          <w:bCs w:val="0"/>
          <w:sz w:val="32"/>
          <w:szCs w:val="32"/>
          <w:lang w:eastAsia="zh-CN"/>
        </w:rPr>
        <w:t>二、强化考试全程管理</w:t>
      </w:r>
    </w:p>
    <w:p>
      <w:pPr>
        <w:wordWrap/>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3.严格考试防范措施。</w:t>
      </w:r>
      <w:r>
        <w:rPr>
          <w:rFonts w:hint="eastAsia" w:ascii="仿宋_GB2312" w:hAnsi="仿宋_GB2312" w:eastAsia="仿宋_GB2312" w:cs="仿宋_GB2312"/>
          <w:sz w:val="32"/>
          <w:szCs w:val="32"/>
          <w:lang w:val="en-US" w:eastAsia="zh-CN"/>
        </w:rPr>
        <w:t>高职分类招考职业技能测试将于5月20日至25日举行。</w:t>
      </w:r>
      <w:r>
        <w:rPr>
          <w:rFonts w:hint="eastAsia" w:ascii="仿宋_GB2312" w:hAnsi="仿宋_GB2312" w:eastAsia="仿宋_GB2312" w:cs="仿宋_GB2312"/>
          <w:sz w:val="32"/>
          <w:szCs w:val="32"/>
          <w:lang w:eastAsia="zh-CN"/>
        </w:rPr>
        <w:t>职业技能测试命题、制卷、试卷保管、测试、成绩评定和成绩发布等工作由主考院校按照我省有关考务管理规定组织实施。各主考院校要完善应急指挥系统、考场视频及网络监控系统、考生身份验证系统，</w:t>
      </w:r>
      <w:r>
        <w:rPr>
          <w:rFonts w:hint="eastAsia" w:ascii="仿宋_GB2312" w:eastAsia="仿宋_GB2312"/>
          <w:color w:val="000000"/>
          <w:sz w:val="32"/>
          <w:szCs w:val="32"/>
        </w:rPr>
        <w:t>配备足量的二代身份证识别仪和金属探测仪等设备，确保在规定时间内，对</w:t>
      </w:r>
      <w:r>
        <w:rPr>
          <w:rFonts w:hint="eastAsia" w:ascii="仿宋_GB2312" w:eastAsia="仿宋_GB2312"/>
          <w:sz w:val="32"/>
          <w:szCs w:val="32"/>
        </w:rPr>
        <w:t>进入测评场所的考生和测评工作人员逐一进行身份识别和违禁物品检查，严禁将手机等设备带入测评场所。</w:t>
      </w:r>
      <w:r>
        <w:rPr>
          <w:rFonts w:hint="eastAsia" w:ascii="仿宋_GB2312" w:hAnsi="仿宋_GB2312" w:eastAsia="仿宋_GB2312" w:cs="仿宋_GB2312"/>
          <w:sz w:val="32"/>
          <w:szCs w:val="32"/>
          <w:lang w:eastAsia="zh-CN"/>
        </w:rPr>
        <w:t>考试期间</w:t>
      </w:r>
      <w:r>
        <w:rPr>
          <w:rFonts w:hint="eastAsia" w:ascii="仿宋_GB2312" w:hAnsi="仿宋" w:eastAsia="仿宋_GB2312"/>
          <w:sz w:val="32"/>
          <w:szCs w:val="32"/>
        </w:rPr>
        <w:t>全方位、无死角的实时视频监控并录像，</w:t>
      </w:r>
      <w:r>
        <w:rPr>
          <w:rFonts w:hint="eastAsia" w:ascii="仿宋_GB2312" w:eastAsia="仿宋_GB2312"/>
          <w:sz w:val="32"/>
          <w:szCs w:val="32"/>
        </w:rPr>
        <w:t>全程记录考生测试情况</w:t>
      </w:r>
      <w:r>
        <w:rPr>
          <w:rFonts w:hint="eastAsia" w:ascii="仿宋_GB2312" w:hAnsi="仿宋" w:eastAsia="仿宋_GB2312"/>
          <w:sz w:val="32"/>
          <w:szCs w:val="32"/>
        </w:rPr>
        <w:t>。</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相关类别</w:t>
      </w:r>
      <w:r>
        <w:rPr>
          <w:rFonts w:hint="eastAsia" w:ascii="仿宋_GB2312" w:hAnsi="仿宋_GB2312" w:eastAsia="仿宋_GB2312" w:cs="仿宋_GB2312"/>
          <w:sz w:val="32"/>
          <w:szCs w:val="32"/>
        </w:rPr>
        <w:t>“随机确定考生</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次序”“随机确定</w:t>
      </w:r>
      <w:r>
        <w:rPr>
          <w:rFonts w:hint="eastAsia" w:ascii="仿宋_GB2312" w:hAnsi="仿宋_GB2312" w:eastAsia="仿宋_GB2312" w:cs="仿宋_GB2312"/>
          <w:sz w:val="32"/>
          <w:szCs w:val="32"/>
          <w:lang w:eastAsia="zh-CN"/>
        </w:rPr>
        <w:t>评委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工作机制</w:t>
      </w:r>
      <w:r>
        <w:rPr>
          <w:rFonts w:hint="eastAsia" w:ascii="仿宋_GB2312" w:hAnsi="仿宋_GB2312" w:eastAsia="仿宋_GB2312" w:cs="仿宋_GB2312"/>
          <w:sz w:val="32"/>
          <w:szCs w:val="32"/>
          <w:lang w:eastAsia="zh-CN"/>
        </w:rPr>
        <w:t>，实行考试全过程封闭管理。设立突发事件应急处置工作小组，</w:t>
      </w:r>
      <w:r>
        <w:rPr>
          <w:rFonts w:hint="eastAsia" w:ascii="仿宋_GB2312" w:eastAsia="仿宋_GB2312"/>
          <w:sz w:val="32"/>
          <w:szCs w:val="32"/>
        </w:rPr>
        <w:t>制订</w:t>
      </w:r>
      <w:r>
        <w:rPr>
          <w:rFonts w:hint="eastAsia" w:ascii="仿宋_GB2312" w:hAnsi="仿宋_GB2312" w:eastAsia="仿宋_GB2312" w:cs="仿宋_GB2312"/>
          <w:sz w:val="32"/>
          <w:szCs w:val="32"/>
          <w:lang w:eastAsia="zh-CN"/>
        </w:rPr>
        <w:t>考试期间发生自然灾害和突发事件的</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处置预案，</w:t>
      </w:r>
      <w:r>
        <w:rPr>
          <w:rFonts w:hint="eastAsia" w:ascii="仿宋_GB2312" w:eastAsia="仿宋_GB2312"/>
          <w:sz w:val="32"/>
          <w:szCs w:val="32"/>
        </w:rPr>
        <w:t>开展应急预案模拟演练，</w:t>
      </w:r>
      <w:r>
        <w:rPr>
          <w:rFonts w:hint="eastAsia" w:ascii="仿宋_GB2312" w:hAnsi="仿宋_GB2312" w:eastAsia="仿宋_GB2312" w:cs="仿宋_GB2312"/>
          <w:sz w:val="32"/>
          <w:szCs w:val="32"/>
          <w:lang w:eastAsia="zh-CN"/>
        </w:rPr>
        <w:t>加强对舆情和应急事件的研判预警，对潜在的风险做到及早发现，</w:t>
      </w:r>
      <w:r>
        <w:rPr>
          <w:rFonts w:hint="eastAsia" w:ascii="仿宋_GB2312" w:hAnsi="仿宋_GB2312" w:eastAsia="仿宋_GB2312" w:cs="仿宋_GB2312"/>
          <w:sz w:val="32"/>
          <w:szCs w:val="32"/>
        </w:rPr>
        <w:t>提前做好应对准备。</w:t>
      </w:r>
    </w:p>
    <w:p>
      <w:pPr>
        <w:pStyle w:val="3"/>
        <w:wordWrap/>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宋体" w:eastAsia="楷体_GB2312" w:cs="宋体"/>
          <w:b/>
          <w:sz w:val="32"/>
          <w:szCs w:val="32"/>
          <w:lang w:val="en-US" w:eastAsia="zh-CN"/>
        </w:rPr>
        <w:t>4.</w:t>
      </w:r>
      <w:r>
        <w:rPr>
          <w:rFonts w:hint="eastAsia" w:ascii="楷体_GB2312" w:hAnsi="宋体" w:eastAsia="楷体_GB2312" w:cs="宋体"/>
          <w:b/>
          <w:sz w:val="32"/>
          <w:szCs w:val="32"/>
          <w:lang w:eastAsia="zh-CN"/>
        </w:rPr>
        <w:t>规范考试人员管理</w:t>
      </w:r>
      <w:r>
        <w:rPr>
          <w:rFonts w:hint="eastAsia" w:ascii="楷体_GB2312" w:hAnsi="宋体" w:eastAsia="楷体_GB2312" w:cs="宋体"/>
          <w:b/>
          <w:sz w:val="32"/>
          <w:szCs w:val="32"/>
        </w:rPr>
        <w:t>。</w:t>
      </w:r>
      <w:r>
        <w:rPr>
          <w:rFonts w:hint="eastAsia" w:ascii="仿宋_GB2312" w:hAnsi="宋体" w:eastAsia="仿宋_GB2312" w:cs="宋体"/>
          <w:sz w:val="32"/>
          <w:szCs w:val="32"/>
          <w:lang w:eastAsia="zh-CN"/>
        </w:rPr>
        <w:t>主考院校</w:t>
      </w:r>
      <w:r>
        <w:rPr>
          <w:rFonts w:hint="eastAsia" w:ascii="仿宋_GB2312" w:hAnsi="宋体" w:eastAsia="仿宋_GB2312" w:cs="宋体"/>
          <w:sz w:val="32"/>
          <w:szCs w:val="32"/>
        </w:rPr>
        <w:t>要配足配齐工作人员，</w:t>
      </w:r>
      <w:r>
        <w:rPr>
          <w:rFonts w:hint="eastAsia" w:ascii="仿宋_GB2312" w:hAnsi="仿宋_GB2312" w:eastAsia="仿宋_GB2312" w:cs="仿宋_GB2312"/>
          <w:sz w:val="32"/>
          <w:szCs w:val="32"/>
          <w:lang w:eastAsia="zh-CN"/>
        </w:rPr>
        <w:t>评委和考务人员原则上从作风正派、责任心强、工作认真、熟悉业务的在编教师或干部中遴选，</w:t>
      </w:r>
      <w:r>
        <w:rPr>
          <w:rFonts w:hint="eastAsia" w:ascii="仿宋_GB2312" w:hAnsi="仿宋_GB2312" w:eastAsia="仿宋_GB2312" w:cs="仿宋_GB2312"/>
          <w:sz w:val="32"/>
          <w:szCs w:val="32"/>
        </w:rPr>
        <w:t>强化保密意识、责任意识和法治意识</w:t>
      </w:r>
      <w:r>
        <w:rPr>
          <w:rFonts w:hint="eastAsia" w:ascii="仿宋_GB2312" w:hAnsi="仿宋_GB2312" w:eastAsia="仿宋_GB2312" w:cs="仿宋_GB2312"/>
          <w:sz w:val="32"/>
          <w:szCs w:val="32"/>
          <w:lang w:eastAsia="zh-CN"/>
        </w:rPr>
        <w:t>，试卷保管、登分统分核分等关键岗位上绝不允许交由学生或其他非在编人员负责。</w:t>
      </w:r>
      <w:r>
        <w:rPr>
          <w:rFonts w:hint="eastAsia" w:ascii="仿宋_GB2312" w:hAnsi="宋体" w:eastAsia="仿宋_GB2312" w:cs="宋体"/>
          <w:sz w:val="32"/>
          <w:szCs w:val="32"/>
        </w:rPr>
        <w:t>严格执行回避制度，凡有直系亲属参加测试的工作人员均须回避。现场测评人员须实行入闱封闭集中管理，入围期间，严禁携带手机等违禁物品，严禁外出、会客等与测试无关的事务，严禁以任何形式对外透露与测试有关的内容。全面开展岗前业务培训，加强纪律教育和警示教育，做到“先培训后上岗，不培训不上岗，培训不合格不上岗”</w:t>
      </w:r>
      <w:r>
        <w:rPr>
          <w:rFonts w:hint="eastAsia" w:ascii="仿宋_GB2312" w:hAnsi="宋体" w:eastAsia="仿宋_GB2312" w:cs="宋体"/>
          <w:sz w:val="32"/>
          <w:szCs w:val="32"/>
          <w:lang w:eastAsia="zh-CN"/>
        </w:rPr>
        <w:t>，</w:t>
      </w:r>
      <w:r>
        <w:rPr>
          <w:rFonts w:hint="eastAsia" w:ascii="仿宋_GB2312" w:hAnsi="仿宋_GB2312" w:eastAsia="仿宋_GB2312" w:cs="仿宋_GB2312"/>
          <w:sz w:val="32"/>
          <w:szCs w:val="32"/>
          <w:lang w:eastAsia="zh-CN"/>
        </w:rPr>
        <w:t>并实行全程留痕，确保责任到岗到人。</w:t>
      </w:r>
    </w:p>
    <w:p>
      <w:pPr>
        <w:pStyle w:val="3"/>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宋体" w:eastAsia="楷体_GB2312" w:cs="宋体"/>
          <w:b/>
          <w:sz w:val="32"/>
          <w:szCs w:val="32"/>
          <w:lang w:val="en-US" w:eastAsia="zh-CN"/>
        </w:rPr>
        <w:t>5.</w:t>
      </w:r>
      <w:r>
        <w:rPr>
          <w:rFonts w:hint="eastAsia" w:ascii="楷体_GB2312" w:hAnsi="宋体" w:eastAsia="楷体_GB2312" w:cs="宋体"/>
          <w:b/>
          <w:sz w:val="32"/>
          <w:szCs w:val="32"/>
          <w:lang w:eastAsia="zh-CN"/>
        </w:rPr>
        <w:t>严密做好</w:t>
      </w:r>
      <w:r>
        <w:rPr>
          <w:rFonts w:hint="eastAsia" w:ascii="楷体_GB2312" w:hAnsi="宋体" w:eastAsia="楷体_GB2312" w:cs="宋体"/>
          <w:b/>
          <w:sz w:val="32"/>
          <w:szCs w:val="32"/>
        </w:rPr>
        <w:t>命题</w:t>
      </w:r>
      <w:r>
        <w:rPr>
          <w:rFonts w:hint="eastAsia" w:ascii="楷体_GB2312" w:hAnsi="宋体" w:eastAsia="楷体_GB2312" w:cs="宋体"/>
          <w:b/>
          <w:sz w:val="32"/>
          <w:szCs w:val="32"/>
          <w:lang w:eastAsia="zh-CN"/>
        </w:rPr>
        <w:t>评卷</w:t>
      </w:r>
      <w:r>
        <w:rPr>
          <w:rFonts w:hint="eastAsia" w:ascii="楷体_GB2312" w:hAnsi="宋体" w:eastAsia="楷体_GB2312" w:cs="宋体"/>
          <w:b/>
          <w:sz w:val="32"/>
          <w:szCs w:val="32"/>
        </w:rPr>
        <w:t>。</w:t>
      </w:r>
      <w:r>
        <w:rPr>
          <w:rFonts w:hint="eastAsia" w:ascii="仿宋_GB2312" w:eastAsia="仿宋_GB2312"/>
          <w:sz w:val="32"/>
          <w:szCs w:val="32"/>
        </w:rPr>
        <w:t>命题和制卷</w:t>
      </w:r>
      <w:r>
        <w:rPr>
          <w:rFonts w:hint="eastAsia" w:ascii="仿宋_GB2312" w:eastAsia="仿宋_GB2312"/>
          <w:sz w:val="32"/>
          <w:szCs w:val="32"/>
          <w:lang w:eastAsia="zh-CN"/>
        </w:rPr>
        <w:t>场所</w:t>
      </w:r>
      <w:r>
        <w:rPr>
          <w:rFonts w:hint="eastAsia" w:ascii="仿宋_GB2312" w:eastAsia="仿宋_GB2312"/>
          <w:sz w:val="32"/>
          <w:szCs w:val="32"/>
        </w:rPr>
        <w:t>须</w:t>
      </w:r>
      <w:r>
        <w:rPr>
          <w:rFonts w:hint="eastAsia" w:ascii="仿宋_GB2312" w:eastAsia="仿宋_GB2312"/>
          <w:sz w:val="32"/>
          <w:szCs w:val="32"/>
          <w:lang w:eastAsia="zh-CN"/>
        </w:rPr>
        <w:t>按照省级统一考试命题要求</w:t>
      </w:r>
      <w:r>
        <w:rPr>
          <w:rFonts w:hint="eastAsia" w:ascii="仿宋_GB2312" w:eastAsia="仿宋_GB2312"/>
          <w:sz w:val="32"/>
          <w:szCs w:val="32"/>
        </w:rPr>
        <w:t>实行封闭式管理，命题人员应在本专业领域学术造诣较高</w:t>
      </w:r>
      <w:r>
        <w:rPr>
          <w:rFonts w:hint="eastAsia" w:ascii="仿宋_GB2312" w:eastAsia="仿宋_GB2312"/>
          <w:sz w:val="32"/>
          <w:szCs w:val="32"/>
          <w:lang w:eastAsia="zh-CN"/>
        </w:rPr>
        <w:t>且</w:t>
      </w:r>
      <w:r>
        <w:rPr>
          <w:rFonts w:hint="eastAsia" w:ascii="仿宋_GB2312" w:eastAsia="仿宋_GB2312"/>
          <w:sz w:val="32"/>
          <w:szCs w:val="32"/>
        </w:rPr>
        <w:t>有</w:t>
      </w:r>
      <w:r>
        <w:rPr>
          <w:rFonts w:hint="eastAsia" w:ascii="仿宋_GB2312" w:eastAsia="仿宋_GB2312"/>
          <w:sz w:val="32"/>
          <w:szCs w:val="32"/>
          <w:lang w:eastAsia="zh-CN"/>
        </w:rPr>
        <w:t>一定</w:t>
      </w:r>
      <w:r>
        <w:rPr>
          <w:rFonts w:hint="eastAsia" w:ascii="仿宋_GB2312" w:eastAsia="仿宋_GB2312"/>
          <w:sz w:val="32"/>
          <w:szCs w:val="32"/>
        </w:rPr>
        <w:t>影响力，原则上应具有</w:t>
      </w:r>
      <w:r>
        <w:rPr>
          <w:rFonts w:hint="eastAsia" w:ascii="仿宋_GB2312" w:eastAsia="仿宋_GB2312"/>
          <w:sz w:val="32"/>
          <w:szCs w:val="32"/>
          <w:lang w:eastAsia="zh-CN"/>
        </w:rPr>
        <w:t>在编的</w:t>
      </w:r>
      <w:r>
        <w:rPr>
          <w:rFonts w:hint="eastAsia" w:ascii="仿宋_GB2312" w:eastAsia="仿宋_GB2312"/>
          <w:sz w:val="32"/>
          <w:szCs w:val="32"/>
        </w:rPr>
        <w:t>高级职称</w:t>
      </w:r>
      <w:r>
        <w:rPr>
          <w:rFonts w:hint="eastAsia" w:ascii="仿宋_GB2312" w:eastAsia="仿宋_GB2312"/>
          <w:sz w:val="32"/>
          <w:szCs w:val="32"/>
          <w:lang w:eastAsia="zh-CN"/>
        </w:rPr>
        <w:t>老师，</w:t>
      </w:r>
      <w:r>
        <w:rPr>
          <w:rFonts w:hint="eastAsia" w:ascii="仿宋_GB2312" w:hAnsi="宋体" w:eastAsia="仿宋_GB2312" w:cs="宋体"/>
          <w:sz w:val="32"/>
          <w:szCs w:val="32"/>
        </w:rPr>
        <w:t>命题人员</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名单</w:t>
      </w:r>
      <w:r>
        <w:rPr>
          <w:rFonts w:hint="eastAsia" w:ascii="仿宋_GB2312" w:hAnsi="宋体" w:eastAsia="仿宋_GB2312" w:cs="宋体"/>
          <w:sz w:val="32"/>
          <w:szCs w:val="32"/>
          <w:lang w:eastAsia="zh-CN"/>
        </w:rPr>
        <w:t>必须</w:t>
      </w:r>
      <w:r>
        <w:rPr>
          <w:rFonts w:hint="eastAsia" w:ascii="仿宋_GB2312" w:hAnsi="宋体" w:eastAsia="仿宋_GB2312" w:cs="宋体"/>
          <w:sz w:val="32"/>
          <w:szCs w:val="32"/>
        </w:rPr>
        <w:t>绝对保密。</w:t>
      </w:r>
      <w:r>
        <w:rPr>
          <w:rFonts w:hint="eastAsia" w:ascii="仿宋_GB2312" w:hAnsi="宋体" w:eastAsia="仿宋_GB2312" w:cs="宋体"/>
          <w:sz w:val="32"/>
          <w:szCs w:val="32"/>
          <w:lang w:eastAsia="zh-CN"/>
        </w:rPr>
        <w:t>试题</w:t>
      </w:r>
      <w:r>
        <w:rPr>
          <w:rFonts w:hint="eastAsia" w:ascii="仿宋_GB2312" w:eastAsia="仿宋_GB2312"/>
          <w:sz w:val="32"/>
          <w:szCs w:val="32"/>
          <w:lang w:eastAsia="zh-CN"/>
        </w:rPr>
        <w:t>根据我省</w:t>
      </w:r>
      <w:r>
        <w:rPr>
          <w:rFonts w:hint="eastAsia" w:ascii="仿宋_GB2312" w:eastAsia="仿宋_GB2312"/>
          <w:sz w:val="32"/>
          <w:szCs w:val="32"/>
        </w:rPr>
        <w:t>《</w:t>
      </w:r>
      <w:r>
        <w:rPr>
          <w:rFonts w:hint="eastAsia" w:ascii="仿宋_GB2312" w:eastAsia="仿宋_GB2312"/>
          <w:sz w:val="32"/>
          <w:szCs w:val="32"/>
          <w:lang w:eastAsia="zh-CN"/>
        </w:rPr>
        <w:t>福建省高职院校分类招生考试</w:t>
      </w:r>
      <w:r>
        <w:rPr>
          <w:rFonts w:hint="eastAsia" w:ascii="仿宋_GB2312" w:eastAsia="仿宋_GB2312"/>
          <w:sz w:val="32"/>
          <w:szCs w:val="32"/>
        </w:rPr>
        <w:t>职业技能测试考试大纲</w:t>
      </w:r>
      <w:r>
        <w:rPr>
          <w:rFonts w:hint="eastAsia" w:ascii="仿宋_GB2312" w:eastAsia="仿宋_GB2312"/>
          <w:sz w:val="32"/>
          <w:szCs w:val="32"/>
          <w:lang w:eastAsia="zh-CN"/>
        </w:rPr>
        <w:t>（试行）</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闽教学〔20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号）</w:t>
      </w:r>
      <w:r>
        <w:rPr>
          <w:rFonts w:hint="eastAsia" w:ascii="仿宋_GB2312" w:eastAsia="仿宋_GB2312"/>
          <w:sz w:val="32"/>
          <w:szCs w:val="32"/>
          <w:lang w:eastAsia="zh-CN"/>
        </w:rPr>
        <w:t>进行命制</w:t>
      </w:r>
      <w:r>
        <w:rPr>
          <w:rFonts w:hint="eastAsia" w:ascii="仿宋_GB2312" w:eastAsia="仿宋_GB2312"/>
          <w:sz w:val="32"/>
          <w:szCs w:val="32"/>
        </w:rPr>
        <w:t>，</w:t>
      </w:r>
      <w:r>
        <w:rPr>
          <w:rFonts w:hint="eastAsia" w:ascii="仿宋_GB2312" w:eastAsia="仿宋_GB2312"/>
          <w:sz w:val="32"/>
          <w:szCs w:val="32"/>
          <w:lang w:eastAsia="zh-CN"/>
        </w:rPr>
        <w:t>要</w:t>
      </w:r>
      <w:r>
        <w:rPr>
          <w:rFonts w:hint="eastAsia" w:ascii="仿宋_GB2312" w:eastAsia="仿宋_GB2312"/>
          <w:sz w:val="32"/>
          <w:szCs w:val="32"/>
        </w:rPr>
        <w:t>确保命题质量</w:t>
      </w:r>
      <w:r>
        <w:rPr>
          <w:rFonts w:hint="eastAsia" w:ascii="仿宋_GB2312" w:eastAsia="仿宋_GB2312"/>
          <w:sz w:val="32"/>
          <w:szCs w:val="32"/>
          <w:lang w:eastAsia="zh-CN"/>
        </w:rPr>
        <w:t>和可操作性</w:t>
      </w:r>
      <w:r>
        <w:rPr>
          <w:rFonts w:hint="eastAsia" w:ascii="仿宋_GB2312" w:eastAsia="仿宋_GB2312"/>
          <w:sz w:val="32"/>
          <w:szCs w:val="32"/>
        </w:rPr>
        <w:t>，科学合理控制试卷的难度和区分度。评卷工作须安排在校内集中进行，评卷场所实行封闭式管理</w:t>
      </w:r>
      <w:r>
        <w:rPr>
          <w:rFonts w:hint="eastAsia" w:ascii="仿宋_GB2312" w:eastAsia="仿宋_GB2312"/>
          <w:sz w:val="32"/>
          <w:szCs w:val="32"/>
          <w:lang w:eastAsia="zh-CN"/>
        </w:rPr>
        <w:t>，</w:t>
      </w:r>
      <w:r>
        <w:rPr>
          <w:rFonts w:hint="eastAsia" w:ascii="仿宋_GB2312" w:eastAsia="仿宋_GB2312"/>
          <w:sz w:val="32"/>
          <w:szCs w:val="32"/>
        </w:rPr>
        <w:t>工作期间全程录像</w:t>
      </w:r>
      <w:r>
        <w:rPr>
          <w:rFonts w:hint="eastAsia" w:ascii="仿宋_GB2312" w:eastAsia="仿宋_GB2312"/>
          <w:sz w:val="32"/>
          <w:szCs w:val="32"/>
          <w:lang w:eastAsia="zh-CN"/>
        </w:rPr>
        <w:t>，</w:t>
      </w:r>
      <w:r>
        <w:rPr>
          <w:rFonts w:hint="eastAsia" w:ascii="仿宋_GB2312" w:eastAsia="仿宋_GB2312"/>
          <w:sz w:val="32"/>
          <w:szCs w:val="32"/>
        </w:rPr>
        <w:t>工作人员一律佩证上岗，不得将手提包、背包等物品以及手机等具有拍照、摄像、存储和传输功能的设备带入评卷场所，不得将考生作答情况外传。</w:t>
      </w:r>
      <w:r>
        <w:rPr>
          <w:rFonts w:hint="eastAsia" w:ascii="仿宋_GB2312" w:eastAsia="仿宋_GB2312"/>
          <w:sz w:val="32"/>
          <w:szCs w:val="32"/>
          <w:lang w:eastAsia="zh-CN"/>
        </w:rPr>
        <w:t>评</w:t>
      </w:r>
      <w:r>
        <w:rPr>
          <w:rFonts w:hint="eastAsia" w:ascii="仿宋_GB2312" w:eastAsia="仿宋_GB2312"/>
          <w:sz w:val="32"/>
          <w:szCs w:val="32"/>
        </w:rPr>
        <w:t>卷人员应具有中级及以上教师职称，并具有一定的评卷工作经验</w:t>
      </w:r>
      <w:r>
        <w:rPr>
          <w:rFonts w:hint="eastAsia" w:ascii="仿宋_GB2312" w:eastAsia="仿宋_GB2312"/>
          <w:sz w:val="32"/>
          <w:szCs w:val="32"/>
          <w:lang w:eastAsia="zh-CN"/>
        </w:rPr>
        <w:t>，</w:t>
      </w:r>
      <w:r>
        <w:rPr>
          <w:rFonts w:hint="eastAsia" w:ascii="仿宋_GB2312" w:eastAsia="仿宋_GB2312"/>
          <w:sz w:val="32"/>
          <w:szCs w:val="32"/>
        </w:rPr>
        <w:t>在“试评”的基础上，严格执行“双评制”，双评差值超出阈限范围的须提交评卷组集体研究、判定。</w:t>
      </w:r>
      <w:r>
        <w:rPr>
          <w:rFonts w:hint="eastAsia" w:ascii="仿宋_GB2312" w:hAnsi="仿宋" w:eastAsia="仿宋_GB2312"/>
          <w:sz w:val="32"/>
          <w:szCs w:val="32"/>
        </w:rPr>
        <w:t>合理控制</w:t>
      </w:r>
      <w:r>
        <w:rPr>
          <w:rFonts w:hint="eastAsia" w:ascii="仿宋_GB2312" w:hAnsi="仿宋" w:eastAsia="仿宋_GB2312"/>
          <w:sz w:val="32"/>
          <w:szCs w:val="32"/>
          <w:lang w:eastAsia="zh-CN"/>
        </w:rPr>
        <w:t>评卷</w:t>
      </w:r>
      <w:r>
        <w:rPr>
          <w:rFonts w:hint="eastAsia" w:ascii="仿宋_GB2312" w:hAnsi="仿宋" w:eastAsia="仿宋_GB2312"/>
          <w:sz w:val="32"/>
          <w:szCs w:val="32"/>
        </w:rPr>
        <w:t>工作进度，坚持“</w:t>
      </w:r>
      <w:r>
        <w:rPr>
          <w:rFonts w:hint="eastAsia" w:ascii="仿宋_GB2312" w:eastAsia="仿宋_GB2312"/>
          <w:sz w:val="32"/>
          <w:szCs w:val="32"/>
        </w:rPr>
        <w:t>一把尺子量到底</w:t>
      </w:r>
      <w:r>
        <w:rPr>
          <w:rFonts w:hint="eastAsia" w:ascii="仿宋_GB2312" w:hAnsi="仿宋" w:eastAsia="仿宋_GB2312"/>
          <w:sz w:val="32"/>
          <w:szCs w:val="32"/>
        </w:rPr>
        <w:t>”</w:t>
      </w:r>
      <w:r>
        <w:rPr>
          <w:rFonts w:hint="eastAsia" w:ascii="仿宋_GB2312" w:eastAsia="仿宋_GB2312"/>
          <w:sz w:val="32"/>
          <w:szCs w:val="32"/>
        </w:rPr>
        <w:t>，确保评卷工作过程安全、宽严合适、结果准确。</w:t>
      </w:r>
    </w:p>
    <w:p>
      <w:pPr>
        <w:pStyle w:val="3"/>
        <w:wordWrap/>
        <w:adjustRightInd/>
        <w:snapToGrid/>
        <w:spacing w:line="600" w:lineRule="exact"/>
        <w:ind w:left="0" w:leftChars="0" w:right="0" w:firstLine="643" w:firstLineChars="200"/>
        <w:jc w:val="both"/>
        <w:textAlignment w:val="auto"/>
        <w:outlineLvl w:val="9"/>
        <w:rPr>
          <w:rFonts w:hint="eastAsia" w:ascii="仿宋_GB2312" w:eastAsia="仿宋_GB2312"/>
          <w:sz w:val="32"/>
          <w:szCs w:val="32"/>
        </w:rPr>
      </w:pPr>
      <w:r>
        <w:rPr>
          <w:rFonts w:hint="eastAsia" w:ascii="楷体_GB2312" w:hAnsi="宋体" w:eastAsia="楷体_GB2312" w:cs="宋体"/>
          <w:b/>
          <w:sz w:val="32"/>
          <w:szCs w:val="32"/>
          <w:lang w:val="en-US" w:eastAsia="zh-CN"/>
        </w:rPr>
        <w:t>6.</w:t>
      </w:r>
      <w:r>
        <w:rPr>
          <w:rFonts w:hint="eastAsia" w:ascii="楷体_GB2312" w:hAnsi="宋体" w:eastAsia="楷体_GB2312" w:cs="宋体"/>
          <w:b/>
          <w:sz w:val="32"/>
          <w:szCs w:val="32"/>
        </w:rPr>
        <w:t>强化</w:t>
      </w:r>
      <w:r>
        <w:rPr>
          <w:rFonts w:hint="eastAsia" w:ascii="楷体_GB2312" w:hAnsi="宋体" w:eastAsia="楷体_GB2312" w:cs="宋体"/>
          <w:b/>
          <w:sz w:val="32"/>
          <w:szCs w:val="32"/>
          <w:lang w:eastAsia="zh-CN"/>
        </w:rPr>
        <w:t>成绩</w:t>
      </w:r>
      <w:r>
        <w:rPr>
          <w:rFonts w:hint="eastAsia" w:ascii="楷体_GB2312" w:hAnsi="宋体" w:eastAsia="楷体_GB2312" w:cs="宋体"/>
          <w:b/>
          <w:sz w:val="32"/>
          <w:szCs w:val="32"/>
        </w:rPr>
        <w:t>数据管理。</w:t>
      </w:r>
      <w:r>
        <w:rPr>
          <w:rFonts w:hint="eastAsia" w:ascii="仿宋_GB2312" w:eastAsia="仿宋_GB2312"/>
          <w:sz w:val="32"/>
          <w:szCs w:val="32"/>
        </w:rPr>
        <w:t>各</w:t>
      </w:r>
      <w:r>
        <w:rPr>
          <w:rFonts w:hint="eastAsia" w:ascii="仿宋_GB2312" w:eastAsia="仿宋_GB2312"/>
          <w:sz w:val="32"/>
          <w:szCs w:val="32"/>
          <w:lang w:eastAsia="zh-CN"/>
        </w:rPr>
        <w:t>主考院校</w:t>
      </w:r>
      <w:r>
        <w:rPr>
          <w:rFonts w:hint="eastAsia" w:ascii="仿宋_GB2312" w:eastAsia="仿宋_GB2312"/>
          <w:sz w:val="32"/>
          <w:szCs w:val="32"/>
        </w:rPr>
        <w:t>要指定专人负责考生</w:t>
      </w:r>
      <w:r>
        <w:rPr>
          <w:rFonts w:hint="eastAsia" w:ascii="仿宋_GB2312" w:eastAsia="仿宋_GB2312"/>
          <w:sz w:val="32"/>
          <w:szCs w:val="32"/>
          <w:lang w:eastAsia="zh-CN"/>
        </w:rPr>
        <w:t>考试</w:t>
      </w:r>
      <w:r>
        <w:rPr>
          <w:rFonts w:hint="eastAsia" w:ascii="仿宋_GB2312" w:eastAsia="仿宋_GB2312"/>
          <w:sz w:val="32"/>
          <w:szCs w:val="32"/>
        </w:rPr>
        <w:t>数据管理工作，切实加强对考生名单领取、登分、统分等环节和考生成绩的管理。登分和统分环节须多轮操作、相互验证，对成绩数据进行全面复核，各</w:t>
      </w:r>
      <w:r>
        <w:rPr>
          <w:rFonts w:hint="eastAsia" w:ascii="仿宋_GB2312" w:eastAsia="仿宋_GB2312"/>
          <w:sz w:val="32"/>
          <w:szCs w:val="32"/>
          <w:lang w:eastAsia="zh-CN"/>
        </w:rPr>
        <w:t>主考院校</w:t>
      </w:r>
      <w:r>
        <w:rPr>
          <w:rFonts w:hint="eastAsia" w:ascii="仿宋_GB2312" w:eastAsia="仿宋_GB2312"/>
          <w:sz w:val="32"/>
          <w:szCs w:val="32"/>
        </w:rPr>
        <w:t>对考生成绩数据的准确性、安全性、完整性负责，出现查分、遗留问题由测试点负责解释</w:t>
      </w:r>
      <w:r>
        <w:rPr>
          <w:rFonts w:hint="eastAsia" w:ascii="仿宋_GB2312" w:eastAsia="仿宋_GB2312"/>
          <w:sz w:val="32"/>
          <w:szCs w:val="32"/>
          <w:lang w:eastAsia="zh-CN"/>
        </w:rPr>
        <w:t>，同时</w:t>
      </w:r>
      <w:r>
        <w:rPr>
          <w:rFonts w:hint="eastAsia" w:ascii="仿宋_GB2312" w:hAnsi="仿宋_GB2312" w:eastAsia="仿宋_GB2312" w:cs="仿宋_GB2312"/>
          <w:color w:val="000000"/>
          <w:sz w:val="32"/>
          <w:szCs w:val="32"/>
          <w:lang w:eastAsia="zh-CN"/>
        </w:rPr>
        <w:t>在规定时间严格按要求将职业技能测试成绩数据报送省教育考试院备案，各主考高校</w:t>
      </w:r>
      <w:r>
        <w:rPr>
          <w:rFonts w:hint="eastAsia" w:ascii="仿宋_GB2312" w:eastAsia="仿宋_GB2312"/>
          <w:sz w:val="32"/>
          <w:szCs w:val="32"/>
          <w:lang w:eastAsia="zh-CN"/>
        </w:rPr>
        <w:t>要</w:t>
      </w:r>
      <w:r>
        <w:rPr>
          <w:rFonts w:hint="eastAsia" w:ascii="仿宋_GB2312" w:eastAsia="仿宋_GB2312"/>
          <w:sz w:val="32"/>
          <w:szCs w:val="32"/>
        </w:rPr>
        <w:t>提供</w:t>
      </w:r>
      <w:r>
        <w:rPr>
          <w:rFonts w:hint="eastAsia" w:ascii="仿宋_GB2312" w:eastAsia="仿宋_GB2312"/>
          <w:sz w:val="32"/>
          <w:szCs w:val="32"/>
          <w:lang w:eastAsia="zh-CN"/>
        </w:rPr>
        <w:t>职业技能测试</w:t>
      </w:r>
      <w:r>
        <w:rPr>
          <w:rFonts w:hint="eastAsia" w:ascii="仿宋_GB2312" w:eastAsia="仿宋_GB2312"/>
          <w:sz w:val="32"/>
          <w:szCs w:val="32"/>
        </w:rPr>
        <w:t>成绩查询平台和复查服务，对成绩有异议的考生</w:t>
      </w:r>
      <w:r>
        <w:rPr>
          <w:rFonts w:hint="eastAsia" w:ascii="仿宋_GB2312" w:eastAsia="仿宋_GB2312"/>
          <w:sz w:val="32"/>
          <w:szCs w:val="32"/>
          <w:lang w:eastAsia="zh-CN"/>
        </w:rPr>
        <w:t>可</w:t>
      </w:r>
      <w:r>
        <w:rPr>
          <w:rFonts w:hint="eastAsia" w:ascii="仿宋_GB2312" w:eastAsia="仿宋_GB2312"/>
          <w:sz w:val="32"/>
          <w:szCs w:val="32"/>
        </w:rPr>
        <w:t>在成绩公布后两天内，持本人身份证和准考证，到测试点提出书面申请成绩复查，只查分，不查卷（含</w:t>
      </w:r>
      <w:r>
        <w:rPr>
          <w:rFonts w:hint="eastAsia" w:ascii="仿宋_GB2312" w:eastAsia="仿宋_GB2312"/>
          <w:sz w:val="32"/>
          <w:szCs w:val="32"/>
          <w:lang w:eastAsia="zh-CN"/>
        </w:rPr>
        <w:t>考试</w:t>
      </w:r>
      <w:r>
        <w:rPr>
          <w:rFonts w:hint="eastAsia" w:ascii="仿宋_GB2312" w:eastAsia="仿宋_GB2312"/>
          <w:sz w:val="32"/>
          <w:szCs w:val="32"/>
        </w:rPr>
        <w:t>过程等）</w:t>
      </w:r>
      <w:r>
        <w:rPr>
          <w:rFonts w:hint="eastAsia" w:ascii="仿宋_GB2312" w:eastAsia="仿宋_GB2312"/>
          <w:sz w:val="32"/>
          <w:szCs w:val="32"/>
          <w:lang w:eastAsia="zh-CN"/>
        </w:rPr>
        <w:t>。</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7.精心做好服务保障。</w:t>
      </w:r>
      <w:r>
        <w:rPr>
          <w:rFonts w:hint="eastAsia" w:ascii="仿宋_GB2312" w:hAnsi="仿宋_GB2312" w:eastAsia="仿宋_GB2312" w:cs="仿宋_GB2312"/>
          <w:sz w:val="32"/>
          <w:szCs w:val="32"/>
          <w:lang w:eastAsia="zh-CN"/>
        </w:rPr>
        <w:t>各市、县（区）教育行政部门和招生考试机构以及学校要坚持以考生为中心，进一步优化考试招生服务，主动协调有关部门，加强对治安、出行、食宿、卫生防疫等方面的综合保障，</w:t>
      </w:r>
      <w:r>
        <w:rPr>
          <w:rFonts w:hint="default" w:ascii="仿宋_GB2312" w:hAnsi="仿宋_GB2312" w:eastAsia="仿宋_GB2312" w:cs="仿宋_GB2312"/>
          <w:b w:val="0"/>
          <w:i w:val="0"/>
          <w:caps w:val="0"/>
          <w:color w:val="4B4B4B"/>
          <w:spacing w:val="0"/>
          <w:sz w:val="32"/>
          <w:szCs w:val="32"/>
        </w:rPr>
        <w:t>科学规范做好</w:t>
      </w:r>
      <w:r>
        <w:rPr>
          <w:rFonts w:hint="eastAsia" w:ascii="仿宋_GB2312" w:hAnsi="仿宋_GB2312" w:eastAsia="仿宋_GB2312" w:cs="仿宋_GB2312"/>
          <w:b w:val="0"/>
          <w:i w:val="0"/>
          <w:caps w:val="0"/>
          <w:color w:val="4B4B4B"/>
          <w:spacing w:val="0"/>
          <w:sz w:val="32"/>
          <w:szCs w:val="32"/>
          <w:lang w:eastAsia="zh-CN"/>
        </w:rPr>
        <w:t>考点考场</w:t>
      </w:r>
      <w:r>
        <w:rPr>
          <w:rFonts w:hint="default" w:ascii="仿宋_GB2312" w:hAnsi="仿宋_GB2312" w:eastAsia="仿宋_GB2312" w:cs="仿宋_GB2312"/>
          <w:b w:val="0"/>
          <w:i w:val="0"/>
          <w:caps w:val="0"/>
          <w:color w:val="4B4B4B"/>
          <w:spacing w:val="0"/>
          <w:sz w:val="32"/>
          <w:szCs w:val="32"/>
        </w:rPr>
        <w:t>疫情防控工作</w:t>
      </w:r>
      <w:r>
        <w:rPr>
          <w:rFonts w:hint="eastAsia" w:ascii="仿宋_GB2312" w:hAnsi="仿宋_GB2312" w:eastAsia="仿宋_GB2312" w:cs="仿宋_GB2312"/>
          <w:b w:val="0"/>
          <w:i w:val="0"/>
          <w:caps w:val="0"/>
          <w:color w:val="4B4B4B"/>
          <w:spacing w:val="0"/>
          <w:sz w:val="32"/>
          <w:szCs w:val="32"/>
          <w:lang w:eastAsia="zh-CN"/>
        </w:rPr>
        <w:t>，</w:t>
      </w:r>
      <w:r>
        <w:rPr>
          <w:rFonts w:hint="eastAsia" w:ascii="仿宋_GB2312" w:eastAsia="仿宋_GB2312"/>
          <w:sz w:val="32"/>
          <w:szCs w:val="32"/>
        </w:rPr>
        <w:t>做好考生集中住宿、交通</w:t>
      </w:r>
      <w:r>
        <w:rPr>
          <w:rFonts w:hint="eastAsia" w:ascii="仿宋_GB2312" w:hAnsi="仿宋_GB2312" w:eastAsia="仿宋_GB2312" w:cs="仿宋_GB2312"/>
          <w:sz w:val="32"/>
          <w:szCs w:val="32"/>
          <w:lang w:eastAsia="zh-CN"/>
        </w:rPr>
        <w:t>疏导管控</w:t>
      </w:r>
      <w:r>
        <w:rPr>
          <w:rFonts w:hint="eastAsia" w:ascii="仿宋_GB2312" w:eastAsia="仿宋_GB2312"/>
          <w:sz w:val="32"/>
          <w:szCs w:val="32"/>
        </w:rPr>
        <w:t>、饮食等方面的</w:t>
      </w:r>
      <w:r>
        <w:rPr>
          <w:rFonts w:hint="eastAsia" w:ascii="仿宋_GB2312" w:eastAsia="仿宋_GB2312"/>
          <w:sz w:val="32"/>
          <w:szCs w:val="32"/>
          <w:lang w:eastAsia="zh-CN"/>
        </w:rPr>
        <w:t>疫情防控和</w:t>
      </w:r>
      <w:r>
        <w:rPr>
          <w:rFonts w:hint="eastAsia" w:ascii="仿宋_GB2312" w:eastAsia="仿宋_GB2312"/>
          <w:sz w:val="32"/>
          <w:szCs w:val="32"/>
        </w:rPr>
        <w:t>安全防范工作</w:t>
      </w:r>
      <w:r>
        <w:rPr>
          <w:rFonts w:hint="eastAsia" w:ascii="仿宋_GB2312" w:hAnsi="仿宋_GB2312" w:eastAsia="仿宋_GB2312" w:cs="仿宋_GB2312"/>
          <w:sz w:val="32"/>
          <w:szCs w:val="32"/>
          <w:lang w:eastAsia="zh-CN"/>
        </w:rPr>
        <w:t>，营造温馨考试环境，提升职业技能测试服务水平。</w:t>
      </w:r>
    </w:p>
    <w:p>
      <w:pPr>
        <w:wordWrap/>
        <w:adjustRightInd/>
        <w:snapToGrid/>
        <w:spacing w:line="600" w:lineRule="exact"/>
        <w:ind w:left="0" w:leftChars="0" w:right="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三、规范招生录取管理</w:t>
      </w:r>
    </w:p>
    <w:p>
      <w:pPr>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8.指导考生志愿填报。</w:t>
      </w:r>
      <w:r>
        <w:rPr>
          <w:rFonts w:hint="eastAsia" w:ascii="仿宋_GB2312" w:hAnsi="仿宋_GB2312" w:eastAsia="仿宋_GB2312" w:cs="仿宋_GB2312"/>
          <w:sz w:val="32"/>
          <w:szCs w:val="32"/>
          <w:lang w:eastAsia="zh-CN"/>
        </w:rPr>
        <w:t>志愿分为本科批次和高职（专科）批次，每个批次均设20个平行且有顺序排列专业的常规志愿和征求志愿，考生登录省教育考试院门户网站（</w:t>
      </w:r>
      <w:r>
        <w:rPr>
          <w:rFonts w:hint="eastAsia" w:ascii="仿宋_GB2312" w:hAnsi="仿宋_GB2312" w:eastAsia="仿宋_GB2312" w:cs="仿宋_GB2312"/>
          <w:sz w:val="32"/>
          <w:szCs w:val="32"/>
        </w:rPr>
        <w:t>www.eeafj.cn</w:t>
      </w:r>
      <w:r>
        <w:rPr>
          <w:rFonts w:hint="eastAsia" w:ascii="仿宋_GB2312" w:hAnsi="仿宋_GB2312" w:eastAsia="仿宋_GB2312" w:cs="仿宋_GB2312"/>
          <w:sz w:val="32"/>
          <w:szCs w:val="32"/>
          <w:lang w:eastAsia="zh-CN"/>
        </w:rPr>
        <w:t>）填报志愿。其中</w:t>
      </w:r>
      <w:r>
        <w:rPr>
          <w:rFonts w:hint="eastAsia" w:ascii="仿宋_GB2312" w:hAnsi="仿宋_GB2312" w:eastAsia="仿宋_GB2312" w:cs="仿宋_GB2312"/>
          <w:sz w:val="32"/>
          <w:szCs w:val="32"/>
          <w:lang w:val="en-US" w:eastAsia="zh-CN"/>
        </w:rPr>
        <w:t>6月10日8:00至11日18:00填报</w:t>
      </w:r>
      <w:r>
        <w:rPr>
          <w:rFonts w:hint="eastAsia" w:ascii="仿宋_GB2312" w:hAnsi="仿宋_GB2312" w:eastAsia="仿宋_GB2312" w:cs="仿宋_GB2312"/>
          <w:sz w:val="32"/>
          <w:szCs w:val="32"/>
          <w:lang w:eastAsia="zh-CN"/>
        </w:rPr>
        <w:t>本科常规志愿，</w:t>
      </w:r>
      <w:r>
        <w:rPr>
          <w:rFonts w:hint="eastAsia" w:ascii="仿宋_GB2312" w:hAnsi="仿宋_GB2312" w:eastAsia="仿宋_GB2312" w:cs="仿宋_GB2312"/>
          <w:sz w:val="32"/>
          <w:szCs w:val="32"/>
          <w:lang w:val="en-US" w:eastAsia="zh-CN"/>
        </w:rPr>
        <w:t>6月13日8:00至18:00</w:t>
      </w:r>
      <w:r>
        <w:rPr>
          <w:rFonts w:hint="eastAsia" w:ascii="仿宋_GB2312" w:hAnsi="仿宋_GB2312" w:eastAsia="仿宋_GB2312" w:cs="仿宋_GB2312"/>
          <w:sz w:val="32"/>
          <w:szCs w:val="32"/>
          <w:lang w:eastAsia="zh-CN"/>
        </w:rPr>
        <w:t>填报本科征求志愿；</w:t>
      </w:r>
      <w:r>
        <w:rPr>
          <w:rFonts w:hint="eastAsia" w:ascii="仿宋_GB2312" w:hAnsi="仿宋_GB2312" w:eastAsia="仿宋_GB2312" w:cs="仿宋_GB2312"/>
          <w:sz w:val="32"/>
          <w:szCs w:val="32"/>
          <w:lang w:val="en-US" w:eastAsia="zh-CN"/>
        </w:rPr>
        <w:t>6月17日8:00至18日18:00填报</w:t>
      </w:r>
      <w:r>
        <w:rPr>
          <w:rFonts w:hint="eastAsia" w:ascii="仿宋_GB2312" w:hAnsi="仿宋_GB2312" w:eastAsia="仿宋_GB2312" w:cs="仿宋_GB2312"/>
          <w:sz w:val="32"/>
          <w:szCs w:val="32"/>
          <w:lang w:eastAsia="zh-CN"/>
        </w:rPr>
        <w:t>专科常规志愿，</w:t>
      </w:r>
      <w:r>
        <w:rPr>
          <w:rFonts w:hint="eastAsia" w:ascii="仿宋_GB2312" w:hAnsi="仿宋_GB2312" w:eastAsia="仿宋_GB2312" w:cs="仿宋_GB2312"/>
          <w:sz w:val="32"/>
          <w:szCs w:val="32"/>
          <w:lang w:val="en-US" w:eastAsia="zh-CN"/>
        </w:rPr>
        <w:t>6月21日8:00至18:00</w:t>
      </w:r>
      <w:r>
        <w:rPr>
          <w:rFonts w:hint="eastAsia" w:ascii="仿宋_GB2312" w:hAnsi="仿宋_GB2312" w:eastAsia="仿宋_GB2312" w:cs="仿宋_GB2312"/>
          <w:sz w:val="32"/>
          <w:szCs w:val="32"/>
          <w:lang w:eastAsia="zh-CN"/>
        </w:rPr>
        <w:t>填报专科征求志愿。各招生院校要及时制订本校高职分类招考招生章程，并于</w:t>
      </w:r>
      <w:r>
        <w:rPr>
          <w:rFonts w:hint="eastAsia" w:ascii="仿宋_GB2312" w:hAnsi="仿宋_GB2312" w:eastAsia="仿宋_GB2312" w:cs="仿宋_GB2312"/>
          <w:sz w:val="32"/>
          <w:szCs w:val="32"/>
          <w:lang w:val="en-US" w:eastAsia="zh-CN"/>
        </w:rPr>
        <w:t>5月15日前</w:t>
      </w:r>
      <w:r>
        <w:rPr>
          <w:rFonts w:hint="eastAsia" w:ascii="仿宋_GB2312" w:hAnsi="仿宋_GB2312" w:eastAsia="仿宋_GB2312" w:cs="仿宋_GB2312"/>
          <w:sz w:val="32"/>
          <w:szCs w:val="32"/>
          <w:lang w:eastAsia="zh-CN"/>
        </w:rPr>
        <w:t>将盖有学校公章的招生章程一式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份报我厅学生工作处，电子版发至邮箱（jytxsc@126.com），经我厅核定后在考生填报志愿之前向社会公布，学校法定代表人对章程及有关宣传材料的真实性负责。各地各校要积极做好志愿填报指导服务，为考生提供政策解读、参考信息和咨询指导，指导考生妥善保管志愿填报账号和密码等个人信息，严防信息泄露或被他人盗用、非法操控。高中阶段学校和教师不得代替或干预考生填报志愿。</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9.严格执行录取规定。</w:t>
      </w:r>
      <w:r>
        <w:rPr>
          <w:rFonts w:hint="eastAsia" w:ascii="仿宋_GB2312" w:hAnsi="仿宋_GB2312" w:eastAsia="仿宋_GB2312" w:cs="仿宋_GB2312"/>
          <w:sz w:val="32"/>
          <w:szCs w:val="32"/>
          <w:lang w:val="en-US" w:eastAsia="zh-CN"/>
        </w:rPr>
        <w:t>高职分类招考</w:t>
      </w:r>
      <w:r>
        <w:rPr>
          <w:rFonts w:hint="eastAsia" w:ascii="仿宋_GB2312" w:hAnsi="仿宋_GB2312" w:eastAsia="仿宋_GB2312" w:cs="仿宋_GB2312"/>
          <w:color w:val="000000"/>
          <w:spacing w:val="8"/>
          <w:sz w:val="32"/>
          <w:szCs w:val="32"/>
          <w:shd w:val="clear" w:color="auto" w:fill="FFFFFF"/>
        </w:rPr>
        <w:t>实施</w:t>
      </w:r>
      <w:r>
        <w:rPr>
          <w:rFonts w:hint="eastAsia" w:ascii="仿宋_GB2312" w:hAnsi="仿宋_GB2312" w:eastAsia="仿宋_GB2312" w:cs="仿宋_GB2312"/>
          <w:color w:val="333333"/>
          <w:sz w:val="32"/>
          <w:szCs w:val="32"/>
          <w:shd w:val="clear" w:color="auto" w:fill="FFFFFF"/>
          <w:lang w:eastAsia="zh-CN"/>
        </w:rPr>
        <w:t>“两依据一参考”的招生</w:t>
      </w:r>
      <w:r>
        <w:rPr>
          <w:rFonts w:hint="eastAsia" w:ascii="仿宋_GB2312" w:hAnsi="仿宋_GB2312" w:eastAsia="仿宋_GB2312" w:cs="仿宋_GB2312"/>
          <w:color w:val="333333"/>
          <w:sz w:val="32"/>
          <w:szCs w:val="32"/>
          <w:shd w:val="clear" w:color="auto" w:fill="FFFFFF"/>
        </w:rPr>
        <w:t>办法</w:t>
      </w:r>
      <w:r>
        <w:rPr>
          <w:rFonts w:hint="eastAsia" w:ascii="仿宋_GB2312" w:hAnsi="仿宋_GB2312" w:eastAsia="仿宋_GB2312" w:cs="仿宋_GB2312"/>
          <w:color w:val="333333"/>
          <w:sz w:val="32"/>
          <w:szCs w:val="32"/>
          <w:shd w:val="clear" w:color="auto" w:fill="FFFFFF"/>
          <w:lang w:eastAsia="zh-CN"/>
        </w:rPr>
        <w:t>，即</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lang w:eastAsia="zh-CN"/>
        </w:rPr>
        <w:t>中等职业学校</w:t>
      </w:r>
      <w:r>
        <w:rPr>
          <w:rFonts w:hint="eastAsia" w:ascii="仿宋_GB2312" w:hAnsi="仿宋_GB2312" w:eastAsia="仿宋_GB2312" w:cs="仿宋_GB2312"/>
          <w:sz w:val="32"/>
          <w:szCs w:val="32"/>
          <w:lang w:val="en-US" w:eastAsia="zh-CN"/>
        </w:rPr>
        <w:t>学业水平考试成绩和职业技能测试成绩，</w:t>
      </w:r>
      <w:r>
        <w:rPr>
          <w:rFonts w:hint="eastAsia" w:ascii="仿宋_GB2312" w:hAnsi="仿宋_GB2312" w:eastAsia="仿宋_GB2312" w:cs="仿宋_GB2312"/>
          <w:color w:val="auto"/>
          <w:kern w:val="0"/>
          <w:sz w:val="32"/>
          <w:szCs w:val="32"/>
          <w:lang w:val="en-US" w:eastAsia="zh-CN"/>
        </w:rPr>
        <w:t>参考学生综合素质评价</w:t>
      </w:r>
      <w:r>
        <w:rPr>
          <w:rFonts w:hint="eastAsia" w:ascii="仿宋_GB2312" w:hAnsi="仿宋_GB2312" w:eastAsia="仿宋_GB2312" w:cs="仿宋_GB2312"/>
          <w:color w:val="auto"/>
          <w:sz w:val="32"/>
          <w:szCs w:val="32"/>
          <w:shd w:val="clear" w:color="auto" w:fill="FFFFFF"/>
          <w:lang w:eastAsia="zh-CN"/>
        </w:rPr>
        <w:t>择优</w:t>
      </w:r>
      <w:r>
        <w:rPr>
          <w:rFonts w:hint="eastAsia" w:ascii="仿宋_GB2312" w:hAnsi="仿宋_GB2312" w:eastAsia="仿宋_GB2312" w:cs="仿宋_GB2312"/>
          <w:color w:val="auto"/>
          <w:sz w:val="32"/>
          <w:szCs w:val="32"/>
          <w:shd w:val="clear" w:color="auto" w:fill="FFFFFF"/>
        </w:rPr>
        <w:t>录取。</w:t>
      </w:r>
      <w:r>
        <w:rPr>
          <w:rFonts w:hint="eastAsia" w:ascii="仿宋_GB2312" w:hAnsi="仿宋_GB2312" w:eastAsia="仿宋_GB2312" w:cs="仿宋_GB2312"/>
          <w:color w:val="auto"/>
          <w:sz w:val="32"/>
          <w:szCs w:val="32"/>
          <w:shd w:val="clear" w:color="auto" w:fill="FFFFFF"/>
          <w:lang w:eastAsia="zh-CN"/>
        </w:rPr>
        <w:t>录取</w:t>
      </w:r>
      <w:r>
        <w:rPr>
          <w:rFonts w:hint="eastAsia" w:ascii="仿宋_GB2312" w:hAnsi="仿宋_GB2312" w:eastAsia="仿宋_GB2312" w:cs="仿宋_GB2312"/>
          <w:sz w:val="32"/>
          <w:szCs w:val="32"/>
          <w:lang w:eastAsia="zh-CN"/>
        </w:rPr>
        <w:t>工作按照“学校负责、考试院监督”的原则实施。招生计划纳入我省普通高校本年度招生计划总规模，未完成的计划转入本年度秋季招生计划总盘中再统筹安排。常规志愿和征求志愿原则上均按招生计划数的100%实行专业志愿平行投档。高校根据招生章程规定的录取规则确定拟录取考生名单，</w:t>
      </w:r>
      <w:r>
        <w:rPr>
          <w:rFonts w:hint="eastAsia" w:ascii="仿宋_GB2312" w:hAnsi="仿宋_GB2312" w:eastAsia="仿宋_GB2312" w:cs="仿宋_GB2312"/>
          <w:color w:val="000000"/>
          <w:sz w:val="32"/>
          <w:szCs w:val="32"/>
          <w:lang w:val="en-US" w:eastAsia="zh-CN"/>
        </w:rPr>
        <w:t>被录取的考生不得再参加2020年普通高考。</w:t>
      </w:r>
      <w:r>
        <w:rPr>
          <w:rFonts w:hint="eastAsia" w:ascii="仿宋_GB2312" w:hAnsi="仿宋_GB2312" w:eastAsia="仿宋_GB2312" w:cs="仿宋_GB2312"/>
          <w:sz w:val="32"/>
          <w:szCs w:val="32"/>
          <w:lang w:eastAsia="zh-CN"/>
        </w:rPr>
        <w:t>对思想政治品德考核合格、总成绩相同的考生，先按符合录取照顾政策同等优先进行排序，再按专业基础知识、职业技能测试、公共基础知识科目成绩的先后顺序从高分到低分顺序进行排序确定考生位次。</w:t>
      </w:r>
      <w:r>
        <w:rPr>
          <w:rFonts w:hint="eastAsia" w:ascii="仿宋_GB2312" w:hAnsi="仿宋_GB2312" w:eastAsia="仿宋_GB2312" w:cs="仿宋_GB2312"/>
          <w:sz w:val="32"/>
          <w:szCs w:val="32"/>
          <w:lang w:val="en-US" w:eastAsia="zh-CN"/>
        </w:rPr>
        <w:t>2020届中等职业学校毕业考生的综合素质评价作为录取的参考，技工学校考生、</w:t>
      </w:r>
      <w:r>
        <w:rPr>
          <w:rFonts w:hint="eastAsia" w:ascii="仿宋_GB2312" w:hAnsi="仿宋_GB2312" w:eastAsia="仿宋_GB2312" w:cs="仿宋_GB2312"/>
          <w:sz w:val="32"/>
          <w:szCs w:val="32"/>
          <w:lang w:eastAsia="zh-CN"/>
        </w:rPr>
        <w:t>往届毕业生或同等学力人员不作要求。</w:t>
      </w:r>
    </w:p>
    <w:p>
      <w:pPr>
        <w:widowControl w:val="0"/>
        <w:wordWrap/>
        <w:adjustRightInd/>
        <w:snapToGrid/>
        <w:spacing w:line="600" w:lineRule="exact"/>
        <w:ind w:left="0" w:leftChars="0" w:right="0" w:firstLine="643" w:firstLineChars="200"/>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10.严肃招生工作纪律。</w:t>
      </w:r>
      <w:r>
        <w:rPr>
          <w:rFonts w:hint="eastAsia" w:ascii="仿宋_GB2312" w:hAnsi="仿宋_GB2312" w:eastAsia="仿宋_GB2312" w:cs="仿宋_GB2312"/>
          <w:sz w:val="32"/>
          <w:szCs w:val="32"/>
          <w:lang w:eastAsia="zh-CN"/>
        </w:rPr>
        <w:t>高职分类招考属国家教育考试，各地各校要严格遵守高校招生“30个不得”“八项基本要求”等</w:t>
      </w:r>
      <w:r>
        <w:rPr>
          <w:rFonts w:hint="eastAsia" w:ascii="仿宋_GB2312" w:hAnsi="仿宋_GB2312" w:eastAsia="仿宋_GB2312" w:cs="仿宋_GB2312"/>
          <w:sz w:val="32"/>
          <w:szCs w:val="32"/>
        </w:rPr>
        <w:t>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严肃查处违规违纪行为</w:t>
      </w:r>
      <w:r>
        <w:rPr>
          <w:rFonts w:hint="eastAsia" w:ascii="仿宋_GB2312" w:hAnsi="仿宋_GB2312" w:eastAsia="仿宋_GB2312" w:cs="仿宋_GB2312"/>
          <w:sz w:val="32"/>
          <w:szCs w:val="32"/>
          <w:lang w:eastAsia="zh-CN"/>
        </w:rPr>
        <w:t>，考生、考试工作人员、社会其他人员在报名、考试、录取等各环节出现违规行为的，要严格按照《国家教育考试违规处理办法》《普通高等学校招生违规行为处理暂行办法》等确定的程序和规定严肃处理，依法依规追究当事人及相关人员责任。</w:t>
      </w:r>
    </w:p>
    <w:p>
      <w:pPr>
        <w:widowControl w:val="0"/>
        <w:wordWrap/>
        <w:adjustRightInd/>
        <w:snapToGrid/>
        <w:spacing w:line="600" w:lineRule="exact"/>
        <w:ind w:left="0" w:leftChars="0" w:right="0" w:firstLine="643" w:firstLineChars="200"/>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四、加强组织领导</w:t>
      </w:r>
    </w:p>
    <w:p>
      <w:pPr>
        <w:widowControl w:val="0"/>
        <w:wordWrap/>
        <w:adjustRightInd/>
        <w:snapToGrid/>
        <w:spacing w:line="600" w:lineRule="exact"/>
        <w:ind w:left="0" w:leftChars="0" w:right="0" w:firstLine="643" w:firstLineChars="200"/>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11.提高思想认识。</w:t>
      </w:r>
      <w:r>
        <w:rPr>
          <w:rFonts w:hint="eastAsia" w:ascii="仿宋_GB2312" w:hAnsi="仿宋_GB2312" w:eastAsia="仿宋_GB2312" w:cs="仿宋_GB2312"/>
          <w:sz w:val="32"/>
          <w:szCs w:val="32"/>
          <w:lang w:eastAsia="zh-CN"/>
        </w:rPr>
        <w:t>高职分类招考是高校招生工作的重要组成部分，做好今年首次实施的高职分类招考工作，关系我省高考综合改革当局和平稳落地，关系广大考生切身利益，</w:t>
      </w:r>
      <w:r>
        <w:rPr>
          <w:rFonts w:hint="eastAsia" w:ascii="仿宋_GB2312" w:hAnsi="仿宋_GB2312" w:eastAsia="仿宋_GB2312" w:cs="仿宋_GB2312"/>
          <w:color w:val="auto"/>
          <w:sz w:val="32"/>
          <w:szCs w:val="32"/>
          <w:lang w:val="en-US" w:eastAsia="zh-CN"/>
        </w:rPr>
        <w:t>责任重大。</w:t>
      </w:r>
      <w:r>
        <w:rPr>
          <w:rFonts w:hint="eastAsia" w:ascii="仿宋_GB2312" w:hAnsi="仿宋_GB2312" w:eastAsia="仿宋_GB2312" w:cs="仿宋_GB2312"/>
          <w:sz w:val="32"/>
          <w:szCs w:val="32"/>
          <w:lang w:eastAsia="zh-CN"/>
        </w:rPr>
        <w:t>各地各校要</w:t>
      </w:r>
      <w:r>
        <w:rPr>
          <w:rFonts w:eastAsia="仿宋_GB2312"/>
          <w:sz w:val="32"/>
          <w:szCs w:val="32"/>
        </w:rPr>
        <w:t>充分认识做好</w:t>
      </w:r>
      <w:r>
        <w:rPr>
          <w:rFonts w:hint="eastAsia" w:ascii="仿宋_GB2312" w:hAnsi="仿宋_GB2312" w:eastAsia="仿宋_GB2312" w:cs="仿宋_GB2312"/>
          <w:sz w:val="32"/>
          <w:szCs w:val="32"/>
          <w:lang w:eastAsia="zh-CN"/>
        </w:rPr>
        <w:t>高职分类</w:t>
      </w:r>
      <w:r>
        <w:rPr>
          <w:rFonts w:eastAsia="仿宋_GB2312"/>
          <w:sz w:val="32"/>
          <w:szCs w:val="32"/>
        </w:rPr>
        <w:t>招考工作的重要性、复杂性和敏感性，</w:t>
      </w:r>
      <w:r>
        <w:rPr>
          <w:rFonts w:hint="eastAsia" w:ascii="仿宋_GB2312" w:hAnsi="仿宋_GB2312" w:eastAsia="仿宋_GB2312" w:cs="仿宋_GB2312"/>
          <w:sz w:val="32"/>
          <w:szCs w:val="32"/>
          <w:lang w:eastAsia="zh-CN"/>
        </w:rPr>
        <w:t>切实加强对高职分类招考工作的组织领导，提高政治站位，确保高职分类招考考试和招生工作平稳顺利。</w:t>
      </w:r>
    </w:p>
    <w:p>
      <w:pPr>
        <w:widowControl w:val="0"/>
        <w:wordWrap/>
        <w:adjustRightInd/>
        <w:snapToGrid/>
        <w:spacing w:line="600" w:lineRule="exact"/>
        <w:ind w:left="0" w:leftChars="0" w:right="0" w:firstLine="643" w:firstLineChars="200"/>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12.强化责任担当。</w:t>
      </w:r>
      <w:r>
        <w:rPr>
          <w:rFonts w:hint="eastAsia" w:ascii="仿宋_GB2312" w:hAnsi="仿宋_GB2312" w:eastAsia="仿宋_GB2312" w:cs="仿宋_GB2312"/>
          <w:sz w:val="32"/>
          <w:szCs w:val="32"/>
          <w:lang w:eastAsia="zh-CN"/>
        </w:rPr>
        <w:t>各设区市教育行政部门负责指导监督有设置职业技能测试考点的所属高校和标准化考点实施考试工作，同时督促指导所属中职学校排查参加职业技能测试考生的健康状况。各主考院校是本考点职业技能测试工作</w:t>
      </w:r>
      <w:r>
        <w:rPr>
          <w:rFonts w:eastAsia="仿宋_GB2312"/>
          <w:sz w:val="32"/>
          <w:szCs w:val="32"/>
        </w:rPr>
        <w:t>组织管理</w:t>
      </w:r>
      <w:r>
        <w:rPr>
          <w:rFonts w:hint="eastAsia" w:eastAsia="仿宋_GB2312"/>
          <w:sz w:val="32"/>
          <w:szCs w:val="32"/>
          <w:lang w:eastAsia="zh-CN"/>
        </w:rPr>
        <w:t>责任</w:t>
      </w:r>
      <w:r>
        <w:rPr>
          <w:rFonts w:eastAsia="仿宋_GB2312"/>
          <w:sz w:val="32"/>
          <w:szCs w:val="32"/>
        </w:rPr>
        <w:t>主体，</w:t>
      </w:r>
      <w:r>
        <w:rPr>
          <w:rFonts w:hint="eastAsia" w:ascii="仿宋_GB2312" w:hAnsi="仿宋_GB2312" w:eastAsia="仿宋_GB2312" w:cs="仿宋_GB2312"/>
          <w:sz w:val="32"/>
          <w:szCs w:val="32"/>
        </w:rPr>
        <w:t>主要负责同志是第一责任人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对本单位</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工作要亲自把关、亲自协调、亲自督查。</w:t>
      </w:r>
      <w:r>
        <w:rPr>
          <w:rFonts w:hint="eastAsia" w:eastAsia="仿宋_GB2312"/>
          <w:sz w:val="32"/>
          <w:szCs w:val="32"/>
          <w:lang w:eastAsia="zh-CN"/>
        </w:rPr>
        <w:t>要</w:t>
      </w:r>
      <w:r>
        <w:rPr>
          <w:rFonts w:hint="eastAsia" w:ascii="仿宋_GB2312" w:hAnsi="仿宋_GB2312" w:eastAsia="仿宋_GB2312" w:cs="仿宋_GB2312"/>
          <w:sz w:val="32"/>
          <w:szCs w:val="32"/>
          <w:lang w:eastAsia="zh-CN"/>
        </w:rPr>
        <w:t>成立由学校主要负责人任组长的职业技能测试工作领导小组，负责具体组织实施考试各项工作，</w:t>
      </w:r>
      <w:r>
        <w:rPr>
          <w:rFonts w:hint="eastAsia" w:ascii="仿宋_GB2312" w:hAnsi="仿宋_GB2312" w:eastAsia="仿宋_GB2312" w:cs="仿宋_GB2312"/>
          <w:sz w:val="32"/>
          <w:szCs w:val="32"/>
        </w:rPr>
        <w:t>要充分考虑各方面情况和因素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认真研究确定</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办法和实施细则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按照疫情防控要求</w:t>
      </w:r>
      <w:r>
        <w:rPr>
          <w:rFonts w:hint="eastAsia" w:ascii="仿宋_GB2312" w:hAnsi="仿宋_GB2312" w:eastAsia="仿宋_GB2312" w:cs="仿宋_GB2312"/>
          <w:sz w:val="32"/>
          <w:szCs w:val="32"/>
          <w:lang w:eastAsia="zh-CN"/>
        </w:rPr>
        <w:t>，加强疫情防控和职业技能测试业务培训和</w:t>
      </w:r>
      <w:r>
        <w:rPr>
          <w:rFonts w:hint="eastAsia" w:ascii="仿宋_GB2312" w:hAnsi="仿宋_GB2312" w:eastAsia="仿宋_GB2312" w:cs="仿宋_GB2312"/>
          <w:sz w:val="32"/>
          <w:szCs w:val="32"/>
        </w:rPr>
        <w:t>考场、人员安排和现场秩序管理</w:t>
      </w:r>
      <w:r>
        <w:rPr>
          <w:rFonts w:hint="eastAsia" w:ascii="仿宋_GB2312" w:hAnsi="仿宋_GB2312" w:eastAsia="仿宋_GB2312" w:cs="仿宋_GB2312"/>
          <w:sz w:val="32"/>
          <w:szCs w:val="32"/>
          <w:lang w:eastAsia="zh-CN"/>
        </w:rPr>
        <w:t>，落实考试安全保密责任，</w:t>
      </w:r>
      <w:r>
        <w:rPr>
          <w:rFonts w:hint="eastAsia" w:ascii="仿宋_GB2312" w:hAnsi="仿宋_GB2312" w:eastAsia="仿宋_GB2312" w:cs="仿宋_GB2312"/>
          <w:color w:val="000000"/>
          <w:sz w:val="32"/>
          <w:szCs w:val="32"/>
          <w:lang w:eastAsia="zh-CN"/>
        </w:rPr>
        <w:t>提高考试安全保障能力。</w:t>
      </w:r>
    </w:p>
    <w:p>
      <w:pPr>
        <w:widowControl w:val="0"/>
        <w:wordWrap/>
        <w:adjustRightInd/>
        <w:snapToGrid/>
        <w:spacing w:line="600" w:lineRule="exact"/>
        <w:ind w:left="0" w:leftChars="0" w:right="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13.加强招考宣传。</w:t>
      </w:r>
      <w:r>
        <w:rPr>
          <w:rFonts w:hint="eastAsia" w:ascii="仿宋_GB2312" w:hAnsi="仿宋_GB2312" w:eastAsia="仿宋_GB2312" w:cs="仿宋_GB2312"/>
          <w:sz w:val="32"/>
          <w:szCs w:val="32"/>
          <w:lang w:val="en-US" w:eastAsia="zh-CN"/>
        </w:rPr>
        <w:t>主考院校和中职学校</w:t>
      </w:r>
      <w:r>
        <w:rPr>
          <w:rFonts w:hint="eastAsia" w:ascii="仿宋_GB2312" w:hAnsi="仿宋_GB2312" w:eastAsia="仿宋_GB2312" w:cs="仿宋_GB2312"/>
          <w:sz w:val="32"/>
          <w:szCs w:val="32"/>
        </w:rPr>
        <w:t>要综合运用各类媒体特别是新媒体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做好相关政策的宣传解读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及时、准确解读</w:t>
      </w:r>
      <w:r>
        <w:rPr>
          <w:rFonts w:hint="eastAsia" w:ascii="仿宋_GB2312" w:hAnsi="仿宋_GB2312" w:eastAsia="仿宋_GB2312" w:cs="仿宋_GB2312"/>
          <w:sz w:val="32"/>
          <w:szCs w:val="32"/>
          <w:lang w:eastAsia="zh-CN"/>
        </w:rPr>
        <w:t>职业技能测试</w:t>
      </w:r>
      <w:r>
        <w:rPr>
          <w:rFonts w:hint="eastAsia" w:ascii="仿宋_GB2312" w:hAnsi="仿宋_GB2312" w:eastAsia="仿宋_GB2312" w:cs="仿宋_GB2312"/>
          <w:sz w:val="32"/>
          <w:szCs w:val="32"/>
        </w:rPr>
        <w:t>工作方案的内容和相关要求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时间、方式、流程等安排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发布考点防疫措施，安检程序和防护等注意事项等，</w:t>
      </w:r>
      <w:r>
        <w:rPr>
          <w:rFonts w:hint="eastAsia" w:ascii="仿宋_GB2312" w:hAnsi="仿宋_GB2312" w:eastAsia="仿宋_GB2312" w:cs="仿宋_GB2312"/>
          <w:sz w:val="32"/>
          <w:szCs w:val="32"/>
        </w:rPr>
        <w:t>让社会和考生充分知晓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掌握考试及疫情防控要求，并做好提醒工作。</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高校</w:t>
      </w:r>
      <w:r>
        <w:rPr>
          <w:rFonts w:hint="eastAsia" w:ascii="仿宋_GB2312" w:hAnsi="仿宋_GB2312" w:eastAsia="仿宋_GB2312" w:cs="仿宋_GB2312"/>
          <w:sz w:val="32"/>
          <w:szCs w:val="32"/>
        </w:rPr>
        <w:t>要畅通考生联系咨询通道，安排专人受理考生咨询，及时为考生答疑解惑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组织工作顺畅有序。</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附件：2020年福建省高职院校分类考试招生职业技能测</w:t>
      </w:r>
    </w:p>
    <w:p>
      <w:pPr>
        <w:widowControl w:val="0"/>
        <w:wordWrap/>
        <w:adjustRightInd/>
        <w:snapToGrid/>
        <w:spacing w:line="600" w:lineRule="exact"/>
        <w:ind w:left="0" w:leftChars="0" w:right="0" w:firstLine="1600" w:firstLineChars="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试主考院校名单</w:t>
      </w:r>
    </w:p>
    <w:p>
      <w:pPr>
        <w:widowControl w:val="0"/>
        <w:wordWrap/>
        <w:adjustRightInd/>
        <w:snapToGrid/>
        <w:spacing w:line="600" w:lineRule="exact"/>
        <w:ind w:left="0" w:leftChars="0" w:right="0" w:firstLine="1600" w:firstLineChars="500"/>
        <w:textAlignment w:val="auto"/>
        <w:outlineLvl w:val="9"/>
        <w:rPr>
          <w:rFonts w:hint="eastAsia" w:ascii="仿宋_GB2312" w:hAnsi="仿宋_GB2312" w:eastAsia="仿宋_GB2312" w:cs="仿宋_GB2312"/>
          <w:sz w:val="32"/>
          <w:szCs w:val="32"/>
          <w:lang w:eastAsia="zh-CN"/>
        </w:rPr>
      </w:pPr>
    </w:p>
    <w:p>
      <w:pPr>
        <w:widowControl w:val="0"/>
        <w:wordWrap/>
        <w:adjustRightInd/>
        <w:snapToGrid/>
        <w:spacing w:line="600" w:lineRule="exact"/>
        <w:ind w:left="0" w:leftChars="0" w:right="0" w:firstLine="1600" w:firstLineChars="500"/>
        <w:textAlignment w:val="auto"/>
        <w:outlineLvl w:val="9"/>
        <w:rPr>
          <w:rFonts w:hint="eastAsia" w:ascii="仿宋_GB2312" w:hAnsi="仿宋_GB2312" w:eastAsia="仿宋_GB2312" w:cs="仿宋_GB2312"/>
          <w:sz w:val="32"/>
          <w:szCs w:val="32"/>
          <w:lang w:eastAsia="zh-CN"/>
        </w:rPr>
      </w:pPr>
    </w:p>
    <w:p>
      <w:pPr>
        <w:widowControl w:val="0"/>
        <w:wordWrap w:val="0"/>
        <w:adjustRightInd/>
        <w:snapToGrid/>
        <w:spacing w:line="600" w:lineRule="exact"/>
        <w:ind w:left="0" w:leftChars="0" w:right="0" w:firstLine="4480" w:firstLineChars="1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福建省教育厅 </w:t>
      </w:r>
      <w:r>
        <w:rPr>
          <w:rFonts w:hint="eastAsia" w:ascii="仿宋_GB2312" w:hAnsi="仿宋_GB2312" w:eastAsia="仿宋_GB2312" w:cs="仿宋_GB2312"/>
          <w:sz w:val="32"/>
          <w:szCs w:val="32"/>
          <w:lang w:val="en-US" w:eastAsia="zh-CN"/>
        </w:rPr>
        <w:t xml:space="preserve"> </w:t>
      </w:r>
    </w:p>
    <w:p>
      <w:pPr>
        <w:widowControl w:val="0"/>
        <w:wordWrap/>
        <w:adjustRightInd/>
        <w:snapToGrid/>
        <w:spacing w:line="600" w:lineRule="exact"/>
        <w:ind w:left="0" w:leftChars="0" w:right="0"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 xml:space="preserve">日 </w:t>
      </w:r>
      <w:r>
        <w:rPr>
          <w:rFonts w:hint="eastAsia" w:ascii="仿宋_GB2312" w:hAnsi="仿宋_GB2312" w:eastAsia="仿宋_GB2312" w:cs="仿宋_GB2312"/>
          <w:sz w:val="32"/>
          <w:szCs w:val="32"/>
          <w:lang w:val="en-US" w:eastAsia="zh-CN"/>
        </w:rPr>
        <w:t xml:space="preserve">    </w:t>
      </w:r>
    </w:p>
    <w:p>
      <w:pPr>
        <w:widowControl w:val="0"/>
        <w:wordWrap/>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(此件主动公开)</w:t>
      </w: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p>
    <w:p>
      <w:pPr>
        <w:wordWrap/>
        <w:spacing w:line="580" w:lineRule="exact"/>
        <w:ind w:left="0" w:leftChars="0" w:right="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wordWrap/>
        <w:spacing w:line="580" w:lineRule="exact"/>
        <w:ind w:right="0"/>
        <w:jc w:val="center"/>
        <w:textAlignment w:val="auto"/>
        <w:rPr>
          <w:rFonts w:hint="eastAsia" w:ascii="方正小标宋简体" w:hAnsi="方正小标宋简体" w:eastAsia="方正小标宋简体" w:cs="方正小标宋简体"/>
          <w:b w:val="0"/>
          <w:bCs/>
          <w:color w:val="333333"/>
          <w:spacing w:val="-11"/>
          <w:sz w:val="44"/>
          <w:szCs w:val="44"/>
          <w:shd w:val="clear" w:color="auto" w:fill="FFFFFF"/>
          <w:lang w:eastAsia="zh-CN"/>
        </w:rPr>
      </w:pPr>
      <w:r>
        <w:rPr>
          <w:rFonts w:hint="eastAsia" w:ascii="方正小标宋简体" w:hAnsi="方正小标宋简体" w:eastAsia="方正小标宋简体" w:cs="方正小标宋简体"/>
          <w:b w:val="0"/>
          <w:bCs/>
          <w:color w:val="333333"/>
          <w:spacing w:val="-11"/>
          <w:sz w:val="44"/>
          <w:szCs w:val="44"/>
          <w:shd w:val="clear" w:color="auto" w:fill="FFFFFF"/>
          <w:lang w:eastAsia="zh-CN"/>
        </w:rPr>
        <w:t>2020年福建省高职院校分类考试招生</w:t>
      </w:r>
    </w:p>
    <w:p>
      <w:pPr>
        <w:wordWrap/>
        <w:spacing w:line="580" w:lineRule="exact"/>
        <w:ind w:right="0"/>
        <w:jc w:val="center"/>
        <w:textAlignment w:val="auto"/>
        <w:rPr>
          <w:rFonts w:hint="eastAsia" w:ascii="方正小标宋简体" w:hAnsi="方正小标宋简体" w:eastAsia="方正小标宋简体" w:cs="方正小标宋简体"/>
          <w:b w:val="0"/>
          <w:bCs/>
          <w:color w:val="333333"/>
          <w:spacing w:val="-11"/>
          <w:sz w:val="44"/>
          <w:szCs w:val="44"/>
          <w:shd w:val="clear" w:color="auto" w:fill="FFFFFF"/>
          <w:lang w:eastAsia="zh-CN"/>
        </w:rPr>
      </w:pPr>
      <w:r>
        <w:rPr>
          <w:rFonts w:hint="eastAsia" w:ascii="方正小标宋简体" w:hAnsi="方正小标宋简体" w:eastAsia="方正小标宋简体" w:cs="方正小标宋简体"/>
          <w:b w:val="0"/>
          <w:bCs/>
          <w:color w:val="333333"/>
          <w:spacing w:val="-11"/>
          <w:sz w:val="44"/>
          <w:szCs w:val="44"/>
          <w:shd w:val="clear" w:color="auto" w:fill="FFFFFF"/>
          <w:lang w:eastAsia="zh-CN"/>
        </w:rPr>
        <w:t>职业技能测试主考院校名单</w:t>
      </w:r>
    </w:p>
    <w:tbl>
      <w:tblPr>
        <w:tblStyle w:val="7"/>
        <w:tblpPr w:leftFromText="180" w:rightFromText="180" w:vertAnchor="text" w:horzAnchor="page" w:tblpX="1914" w:tblpY="708"/>
        <w:tblOverlap w:val="never"/>
        <w:tblW w:w="81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792"/>
        <w:gridCol w:w="3693"/>
        <w:gridCol w:w="3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default" w:ascii="宋体" w:hAnsi="宋体" w:eastAsia="宋体" w:cs="宋体"/>
                <w:b/>
                <w:i w:val="0"/>
                <w:color w:val="000000"/>
                <w:sz w:val="28"/>
                <w:szCs w:val="28"/>
                <w:u w:val="none"/>
                <w:lang w:val="en-US"/>
              </w:rPr>
            </w:pPr>
            <w:r>
              <w:rPr>
                <w:rFonts w:hint="eastAsia" w:ascii="宋体" w:hAnsi="宋体" w:eastAsia="宋体" w:cs="宋体"/>
                <w:b/>
                <w:i w:val="0"/>
                <w:color w:val="000000"/>
                <w:kern w:val="0"/>
                <w:sz w:val="28"/>
                <w:szCs w:val="28"/>
                <w:u w:val="none"/>
                <w:lang w:val="en-US" w:eastAsia="zh-CN"/>
              </w:rPr>
              <w:t>序号</w:t>
            </w:r>
          </w:p>
        </w:tc>
        <w:tc>
          <w:tcPr>
            <w:tcW w:w="3693"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主考院校</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职业技能测试类别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1</w:t>
            </w:r>
          </w:p>
        </w:tc>
        <w:tc>
          <w:tcPr>
            <w:tcW w:w="3693"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福建船政交通职业学院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汽车类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制造类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航运技术管理类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2</w:t>
            </w:r>
          </w:p>
        </w:tc>
        <w:tc>
          <w:tcPr>
            <w:tcW w:w="3693"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福建信息职业技术学院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计算机类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电子类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电工类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3</w:t>
            </w:r>
          </w:p>
        </w:tc>
        <w:tc>
          <w:tcPr>
            <w:tcW w:w="3693"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福建幼儿师范高等专科学校</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教育类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4</w:t>
            </w:r>
          </w:p>
        </w:tc>
        <w:tc>
          <w:tcPr>
            <w:tcW w:w="3693"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福建农业职业技术学院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农林类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畜牧类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5</w:t>
            </w:r>
          </w:p>
        </w:tc>
        <w:tc>
          <w:tcPr>
            <w:tcW w:w="3693"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福建卫生职业技术学院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医药卫生类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6</w:t>
            </w:r>
          </w:p>
        </w:tc>
        <w:tc>
          <w:tcPr>
            <w:tcW w:w="3693"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福建生物工程职业技术学院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食品类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化工类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7</w:t>
            </w:r>
          </w:p>
        </w:tc>
        <w:tc>
          <w:tcPr>
            <w:tcW w:w="3693"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福建艺术职业学院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音乐与表演类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广播影视类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8</w:t>
            </w:r>
          </w:p>
        </w:tc>
        <w:tc>
          <w:tcPr>
            <w:tcW w:w="3693"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福建体育职业技术学院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体育类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9</w:t>
            </w:r>
          </w:p>
        </w:tc>
        <w:tc>
          <w:tcPr>
            <w:tcW w:w="3693"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福州职业技术学院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土木工程类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城市轨道交通类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10</w:t>
            </w:r>
          </w:p>
        </w:tc>
        <w:tc>
          <w:tcPr>
            <w:tcW w:w="3693"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闽江师范高等专科学校</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形象设计类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美术与设计类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11</w:t>
            </w:r>
          </w:p>
        </w:tc>
        <w:tc>
          <w:tcPr>
            <w:tcW w:w="3693"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厦门城市职业学院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商贸管理类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办公事务类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公共管理与服务类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kern w:val="0"/>
                <w:sz w:val="28"/>
                <w:szCs w:val="28"/>
                <w:u w:val="none"/>
                <w:lang w:val="en-US" w:eastAsia="zh-CN"/>
              </w:rPr>
            </w:pPr>
            <w:r>
              <w:rPr>
                <w:rFonts w:hint="eastAsia" w:ascii="宋体" w:hAnsi="宋体" w:eastAsia="宋体" w:cs="宋体"/>
                <w:i w:val="0"/>
                <w:color w:val="000000"/>
                <w:kern w:val="0"/>
                <w:sz w:val="28"/>
                <w:szCs w:val="28"/>
                <w:u w:val="none"/>
                <w:lang w:val="en-US" w:eastAsia="zh-CN"/>
              </w:rPr>
              <w:t>铁道运输类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12</w:t>
            </w:r>
          </w:p>
        </w:tc>
        <w:tc>
          <w:tcPr>
            <w:tcW w:w="3693"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漳州职业技术学院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旅游服务类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物流管理类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13</w:t>
            </w:r>
          </w:p>
        </w:tc>
        <w:tc>
          <w:tcPr>
            <w:tcW w:w="3693" w:type="dxa"/>
            <w:vMerge w:val="restart"/>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黎明职业大学</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财经管理类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服装类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6" w:hRule="atLeast"/>
        </w:trPr>
        <w:tc>
          <w:tcPr>
            <w:tcW w:w="792"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93" w:type="dxa"/>
            <w:vMerge w:val="continue"/>
            <w:tcBorders>
              <w:tl2br w:val="nil"/>
              <w:tr2bl w:val="nil"/>
            </w:tcBorders>
            <w:vAlign w:val="center"/>
          </w:tcPr>
          <w:p>
            <w:pPr>
              <w:widowControl/>
              <w:wordWrap/>
              <w:adjustRightInd/>
              <w:snapToGrid/>
              <w:spacing w:before="0" w:beforeLines="0" w:after="0" w:afterLines="0" w:line="320" w:lineRule="exact"/>
              <w:ind w:left="0" w:leftChars="0" w:right="0" w:firstLine="0" w:firstLineChars="0"/>
              <w:jc w:val="center"/>
              <w:outlineLvl w:val="9"/>
              <w:rPr>
                <w:rFonts w:hint="eastAsia" w:ascii="宋体" w:hAnsi="宋体" w:eastAsia="宋体" w:cs="宋体"/>
                <w:i w:val="0"/>
                <w:color w:val="000000"/>
                <w:sz w:val="28"/>
                <w:szCs w:val="28"/>
                <w:u w:val="none"/>
              </w:rPr>
            </w:pP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纺织类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72" w:hRule="atLeast"/>
        </w:trPr>
        <w:tc>
          <w:tcPr>
            <w:tcW w:w="792"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14</w:t>
            </w:r>
          </w:p>
        </w:tc>
        <w:tc>
          <w:tcPr>
            <w:tcW w:w="3693"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泉州轻工职业学院</w:t>
            </w:r>
          </w:p>
        </w:tc>
        <w:tc>
          <w:tcPr>
            <w:tcW w:w="3655" w:type="dxa"/>
            <w:tcBorders>
              <w:tl2br w:val="nil"/>
              <w:tr2bl w:val="nil"/>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餐饮类</w:t>
            </w:r>
          </w:p>
        </w:tc>
      </w:tr>
    </w:tbl>
    <w:p>
      <w:pPr>
        <w:wordWrap/>
        <w:spacing w:line="580" w:lineRule="exact"/>
        <w:ind w:left="0" w:leftChars="0" w:right="0" w:firstLine="643" w:firstLineChars="200"/>
        <w:textAlignment w:val="auto"/>
        <w:rPr>
          <w:rFonts w:hint="eastAsia" w:ascii="仿宋_GB2312" w:hAnsi="仿宋_GB2312" w:eastAsia="仿宋_GB2312" w:cs="仿宋_GB2312"/>
          <w:b/>
          <w:bCs/>
          <w:sz w:val="32"/>
          <w:szCs w:val="32"/>
          <w:lang w:eastAsia="zh-CN"/>
        </w:rPr>
      </w:pPr>
    </w:p>
    <w:p>
      <w:pPr>
        <w:adjustRightInd w:val="0"/>
        <w:snapToGrid w:val="0"/>
        <w:spacing w:line="580" w:lineRule="exact"/>
        <w:ind w:left="0" w:leftChars="0" w:right="0"/>
        <w:jc w:val="center"/>
        <w:textAlignment w:val="auto"/>
        <w:rPr>
          <w:rFonts w:hint="eastAsia" w:ascii="方正小标宋简体" w:hAnsi="方正小标宋简体" w:eastAsia="方正小标宋简体" w:cs="方正小标宋简体"/>
          <w:color w:val="000000"/>
          <w:sz w:val="44"/>
          <w:szCs w:val="44"/>
          <w:lang w:val="en-US" w:eastAsia="zh-CN"/>
        </w:rPr>
      </w:pPr>
    </w:p>
    <w:p>
      <w:pPr>
        <w:adjustRightInd w:val="0"/>
        <w:snapToGrid w:val="0"/>
        <w:spacing w:line="580" w:lineRule="exact"/>
        <w:ind w:left="0" w:leftChars="0" w:right="0"/>
        <w:jc w:val="center"/>
        <w:textAlignment w:val="auto"/>
        <w:rPr>
          <w:rFonts w:hint="eastAsia" w:ascii="方正小标宋简体" w:hAnsi="方正小标宋简体" w:eastAsia="方正小标宋简体" w:cs="方正小标宋简体"/>
          <w:color w:val="000000"/>
          <w:sz w:val="44"/>
          <w:szCs w:val="44"/>
          <w:lang w:val="en-US" w:eastAsia="zh-CN"/>
        </w:rPr>
      </w:pPr>
    </w:p>
    <w:p>
      <w:pPr>
        <w:adjustRightInd w:val="0"/>
        <w:snapToGrid w:val="0"/>
        <w:spacing w:line="580" w:lineRule="exact"/>
        <w:jc w:val="center"/>
        <w:rPr>
          <w:rFonts w:hint="eastAsia" w:ascii="方正小标宋简体" w:hAnsi="方正小标宋简体" w:eastAsia="方正小标宋简体" w:cs="方正小标宋简体"/>
          <w:color w:val="000000"/>
          <w:sz w:val="32"/>
          <w:szCs w:val="32"/>
          <w:lang w:val="en-US" w:eastAsia="zh-CN"/>
        </w:rPr>
      </w:pPr>
    </w:p>
    <w:p>
      <w:pPr>
        <w:adjustRightInd w:val="0"/>
        <w:snapToGrid w:val="0"/>
        <w:spacing w:line="580" w:lineRule="exact"/>
        <w:ind w:firstLine="1600" w:firstLineChars="500"/>
        <w:rPr>
          <w:rFonts w:hint="eastAsia" w:ascii="仿宋_GB2312" w:hAnsi="仿宋_GB2312" w:eastAsia="仿宋_GB2312" w:cs="仿宋_GB2312"/>
          <w:sz w:val="32"/>
          <w:szCs w:val="32"/>
          <w:lang w:val="en-US" w:eastAsia="zh-CN"/>
        </w:rPr>
      </w:pPr>
    </w:p>
    <w:p>
      <w:pPr>
        <w:adjustRightInd w:val="0"/>
        <w:snapToGrid w:val="0"/>
        <w:spacing w:line="580" w:lineRule="exact"/>
        <w:ind w:firstLine="1600" w:firstLineChars="500"/>
        <w:rPr>
          <w:rFonts w:hint="eastAsia" w:ascii="仿宋_GB2312" w:hAnsi="仿宋_GB2312" w:eastAsia="仿宋_GB2312" w:cs="仿宋_GB2312"/>
          <w:sz w:val="32"/>
          <w:szCs w:val="32"/>
          <w:lang w:val="en-US" w:eastAsia="zh-CN"/>
        </w:rPr>
      </w:pPr>
    </w:p>
    <w:p>
      <w:pPr>
        <w:adjustRightInd w:val="0"/>
        <w:snapToGrid w:val="0"/>
        <w:spacing w:line="580" w:lineRule="exact"/>
        <w:ind w:firstLine="1600" w:firstLineChars="500"/>
        <w:rPr>
          <w:rFonts w:hint="eastAsia" w:ascii="仿宋_GB2312" w:hAnsi="仿宋_GB2312" w:eastAsia="仿宋_GB2312" w:cs="仿宋_GB2312"/>
          <w:sz w:val="32"/>
          <w:szCs w:val="32"/>
          <w:lang w:val="en-US" w:eastAsia="zh-CN"/>
        </w:rPr>
      </w:pPr>
    </w:p>
    <w:p>
      <w:pPr>
        <w:wordWrap/>
        <w:spacing w:line="580" w:lineRule="exact"/>
        <w:ind w:left="0" w:leftChars="0" w:right="0" w:firstLine="640" w:firstLineChars="200"/>
        <w:textAlignment w:val="auto"/>
        <w:rPr>
          <w:rFonts w:hint="eastAsia" w:ascii="仿宋_GB2312" w:hAnsi="仿宋_GB2312" w:eastAsia="仿宋_GB2312" w:cs="仿宋_GB2312"/>
          <w:sz w:val="32"/>
          <w:szCs w:val="32"/>
          <w:lang w:eastAsia="zh-CN"/>
        </w:rPr>
      </w:pPr>
    </w:p>
    <w:p>
      <w:pPr>
        <w:wordWrap/>
        <w:spacing w:line="580" w:lineRule="exact"/>
        <w:ind w:left="0" w:leftChars="0" w:right="0" w:firstLine="640" w:firstLineChars="200"/>
        <w:textAlignment w:val="auto"/>
        <w:rPr>
          <w:rFonts w:hint="eastAsia" w:ascii="仿宋_GB2312" w:hAnsi="仿宋_GB2312" w:eastAsia="仿宋_GB2312" w:cs="仿宋_GB2312"/>
          <w:sz w:val="32"/>
          <w:szCs w:val="32"/>
          <w:lang w:eastAsia="zh-CN"/>
        </w:rPr>
      </w:pPr>
    </w:p>
    <w:p>
      <w:pPr>
        <w:wordWrap/>
        <w:spacing w:line="580" w:lineRule="exact"/>
        <w:ind w:left="0" w:leftChars="0" w:right="0" w:firstLine="640" w:firstLineChars="200"/>
        <w:textAlignment w:val="auto"/>
        <w:rPr>
          <w:rFonts w:hint="eastAsia" w:ascii="仿宋_GB2312" w:hAnsi="仿宋_GB2312" w:eastAsia="仿宋_GB2312" w:cs="仿宋_GB2312"/>
          <w:sz w:val="32"/>
          <w:szCs w:val="32"/>
          <w:lang w:eastAsia="zh-CN"/>
        </w:rPr>
      </w:pPr>
    </w:p>
    <w:p>
      <w:pPr>
        <w:wordWrap/>
        <w:spacing w:line="580" w:lineRule="exact"/>
        <w:ind w:left="0" w:leftChars="0" w:right="0" w:firstLine="640" w:firstLineChars="200"/>
        <w:textAlignment w:val="auto"/>
        <w:rPr>
          <w:rFonts w:hint="eastAsia" w:ascii="仿宋_GB2312" w:hAnsi="仿宋_GB2312" w:eastAsia="仿宋_GB2312" w:cs="仿宋_GB2312"/>
          <w:sz w:val="32"/>
          <w:szCs w:val="32"/>
          <w:lang w:eastAsia="zh-CN"/>
        </w:rPr>
      </w:pPr>
    </w:p>
    <w:p>
      <w:pPr>
        <w:wordWrap/>
        <w:spacing w:line="580" w:lineRule="exact"/>
        <w:ind w:left="0" w:leftChars="0" w:right="0" w:firstLine="640" w:firstLineChars="200"/>
        <w:textAlignment w:val="auto"/>
        <w:rPr>
          <w:rFonts w:hint="eastAsia" w:ascii="仿宋_GB2312" w:hAnsi="仿宋_GB2312" w:eastAsia="仿宋_GB2312" w:cs="仿宋_GB2312"/>
          <w:sz w:val="32"/>
          <w:szCs w:val="32"/>
          <w:lang w:eastAsia="zh-CN"/>
        </w:rPr>
      </w:pPr>
    </w:p>
    <w:p>
      <w:pPr>
        <w:wordWrap/>
        <w:spacing w:line="580" w:lineRule="exact"/>
        <w:ind w:left="0" w:leftChars="0" w:right="0" w:firstLine="640" w:firstLineChars="200"/>
        <w:textAlignment w:val="auto"/>
        <w:rPr>
          <w:rFonts w:hint="eastAsia" w:ascii="仿宋_GB2312" w:hAnsi="仿宋_GB2312" w:eastAsia="仿宋_GB2312" w:cs="仿宋_GB2312"/>
          <w:sz w:val="32"/>
          <w:szCs w:val="32"/>
          <w:lang w:eastAsia="zh-CN"/>
        </w:rPr>
      </w:pPr>
    </w:p>
    <w:p>
      <w:pPr>
        <w:wordWrap/>
        <w:spacing w:line="580" w:lineRule="exact"/>
        <w:ind w:left="0" w:leftChars="0" w:right="0" w:firstLine="640" w:firstLineChars="200"/>
        <w:textAlignment w:val="auto"/>
        <w:rPr>
          <w:rFonts w:hint="eastAsia" w:ascii="仿宋_GB2312" w:hAnsi="仿宋_GB2312" w:eastAsia="仿宋_GB2312" w:cs="仿宋_GB2312"/>
          <w:sz w:val="32"/>
          <w:szCs w:val="32"/>
          <w:lang w:eastAsia="zh-CN"/>
        </w:rPr>
      </w:pPr>
    </w:p>
    <w:p>
      <w:pPr>
        <w:widowControl w:val="0"/>
        <w:wordWrap/>
        <w:adjustRightInd w:val="0"/>
        <w:snapToGrid w:val="0"/>
        <w:spacing w:line="580" w:lineRule="exact"/>
        <w:ind w:right="0"/>
        <w:jc w:val="both"/>
        <w:textAlignment w:val="auto"/>
        <w:outlineLvl w:val="9"/>
        <w:rPr>
          <w:rFonts w:ascii="仿宋_GB2312" w:eastAsia="仿宋_GB2312"/>
          <w:sz w:val="32"/>
          <w:szCs w:val="32"/>
        </w:rPr>
      </w:pPr>
    </w:p>
    <w:p>
      <w:pPr>
        <w:widowControl w:val="0"/>
        <w:wordWrap/>
        <w:adjustRightInd w:val="0"/>
        <w:snapToGrid w:val="0"/>
        <w:spacing w:line="580" w:lineRule="exact"/>
        <w:ind w:right="0"/>
        <w:jc w:val="both"/>
        <w:textAlignment w:val="auto"/>
        <w:outlineLvl w:val="9"/>
        <w:rPr>
          <w:rFonts w:ascii="仿宋_GB2312" w:eastAsia="仿宋_GB2312"/>
          <w:sz w:val="32"/>
          <w:szCs w:val="32"/>
        </w:rPr>
      </w:pPr>
    </w:p>
    <w:p>
      <w:pPr>
        <w:widowControl w:val="0"/>
        <w:wordWrap/>
        <w:adjustRightInd w:val="0"/>
        <w:snapToGrid w:val="0"/>
        <w:spacing w:line="580" w:lineRule="exact"/>
        <w:ind w:right="0" w:firstLine="320" w:firstLineChars="100"/>
        <w:jc w:val="both"/>
        <w:textAlignment w:val="auto"/>
        <w:outlineLvl w:val="9"/>
        <w:rPr>
          <w:rFonts w:hint="eastAsia" w:ascii="仿宋_GB2312" w:eastAsia="仿宋_GB2312"/>
          <w:sz w:val="28"/>
          <w:szCs w:val="28"/>
        </w:rPr>
      </w:pPr>
      <w:r>
        <w:rPr>
          <w:rFonts w:ascii="仿宋_GB2312" w:hAnsi="Calibri" w:eastAsia="仿宋_GB2312" w:cs="Times New Roman"/>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600700"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4pt;height:0.05pt;width:441pt;z-index:251659264;mso-width-relative:page;mso-height-relative:page;" fillcolor="#FFFFFF" filled="t" o:preferrelative="t" stroked="t" coordsize="21600,21600" o:gfxdata="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Gu2KfSAAAAAgEAAA8AAAAA&#10;AAAAAQAgAAAAIgAAAGRycy9kb3ducmV2LnhtbFBLAQIUABQAAAAIAIdO4kBQINni4QEAAKEDAAAO&#10;AAAAAAAAAAEAIAAAACEBAABkcnMvZTJvRG9jLnhtbFBLBQYAAAAABgAGAFkBAAB0BQAAAAA=&#10;">
                <v:path arrowok="t"/>
                <v:fill on="t" focussize="0,0"/>
                <v:stroke weight="1pt" color="#000000" color2="#FFFFFF" miterlimit="2"/>
                <v:imagedata gain="65536f" blacklevel="0f" gamma="0" o:title=""/>
                <o:lock v:ext="edit" position="f" selection="f" grouping="f" rotation="f" cropping="f" text="f" aspectratio="f"/>
              </v:shape>
            </w:pict>
          </mc:Fallback>
        </mc:AlternateContent>
      </w:r>
      <w:r>
        <w:rPr>
          <w:rFonts w:hint="eastAsia" w:ascii="仿宋_GB2312" w:eastAsia="仿宋_GB2312"/>
          <w:sz w:val="28"/>
          <w:szCs w:val="28"/>
        </w:rPr>
        <w:t>抄送：省</w:t>
      </w:r>
      <w:r>
        <w:rPr>
          <w:rFonts w:hint="eastAsia" w:ascii="仿宋_GB2312" w:eastAsia="仿宋_GB2312"/>
          <w:sz w:val="28"/>
          <w:szCs w:val="28"/>
          <w:lang w:eastAsia="zh-CN"/>
        </w:rPr>
        <w:t>卫健委、公安厅、</w:t>
      </w:r>
      <w:r>
        <w:rPr>
          <w:rFonts w:hint="eastAsia" w:ascii="仿宋_GB2312" w:eastAsia="仿宋_GB2312"/>
          <w:sz w:val="28"/>
          <w:szCs w:val="28"/>
        </w:rPr>
        <w:t>人社厅，省教育考试院</w:t>
      </w:r>
    </w:p>
    <w:p>
      <w:pPr>
        <w:widowControl w:val="0"/>
        <w:wordWrap/>
        <w:adjustRightInd w:val="0"/>
        <w:snapToGrid w:val="0"/>
        <w:spacing w:line="580" w:lineRule="exact"/>
        <w:ind w:left="0" w:leftChars="0" w:right="0" w:firstLine="560" w:firstLineChars="200"/>
        <w:jc w:val="both"/>
        <w:textAlignment w:val="auto"/>
        <w:outlineLvl w:val="9"/>
        <w:rPr>
          <w:rFonts w:ascii="仿宋_GB2312" w:eastAsia="仿宋_GB2312"/>
          <w:sz w:val="28"/>
          <w:szCs w:val="28"/>
        </w:rPr>
      </w:pPr>
      <w:r>
        <w:rPr>
          <w:rFonts w:hint="eastAsia" w:ascii="仿宋_GB2312" w:eastAsia="仿宋_GB2312"/>
          <w:sz w:val="28"/>
          <w:szCs w:val="28"/>
        </w:rPr>
        <w:t xml:space="preserve">福建省教育厅办公室   </w:t>
      </w:r>
      <w:r>
        <w:rPr>
          <w:rFonts w:ascii="仿宋_GB2312" w:hAnsi="Calibri" w:eastAsia="仿宋_GB2312" w:cs="Times New Roman"/>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00700"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05pt;width:441pt;z-index:251661312;mso-width-relative:page;mso-height-relative:page;" fillcolor="#FFFFFF" filled="t" o:preferrelative="t" stroked="t" coordsize="21600,21600" o:gfxdata="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PBpR0gAAAAIBAAAPAAAA&#10;AAAAAAEAIAAAACIAAABkcnMvZG93bnJldi54bWxQSwECFAAUAAAACACHTuJAtR5f7OIBAAChAwAA&#10;DgAAAAAAAAABACAAAAAhAQAAZHJzL2Uyb0RvYy54bWxQSwUGAAAAAAYABgBZAQAAdQUAAAAA&#10;">
                <v:path arrowok="t"/>
                <v:fill on="t" focussize="0,0"/>
                <v:stroke weight="1pt" color="#000000" color2="#FFFFFF" miterlimit="2"/>
                <v:imagedata gain="65536f" blacklevel="0f" gamma="0" o:title=""/>
                <o:lock v:ext="edit" position="f" selection="f" grouping="f" rotation="f" cropping="f" text="f" aspectratio="f"/>
              </v:shape>
            </w:pict>
          </mc:Fallback>
        </mc:AlternateContent>
      </w:r>
      <w:r>
        <w:rPr>
          <w:rFonts w:hint="eastAsia" w:ascii="仿宋_GB2312" w:eastAsia="仿宋_GB2312"/>
          <w:sz w:val="28"/>
          <w:szCs w:val="28"/>
        </w:rPr>
        <w:t xml:space="preserve">              2020年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日印发</w:t>
      </w:r>
    </w:p>
    <w:p>
      <w:pPr>
        <w:widowControl w:val="0"/>
        <w:wordWrap/>
        <w:adjustRightInd w:val="0"/>
        <w:snapToGrid w:val="0"/>
        <w:spacing w:line="580" w:lineRule="exact"/>
        <w:ind w:left="0" w:leftChars="0" w:right="0"/>
        <w:jc w:val="both"/>
        <w:textAlignment w:val="auto"/>
        <w:outlineLvl w:val="9"/>
      </w:pPr>
      <w:r>
        <w:rPr>
          <w:rFonts w:ascii="Calibri" w:hAnsi="Calibri"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600700" cy="63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75pt;height:0.05pt;width:441pt;z-index:251660288;mso-width-relative:page;mso-height-relative:page;" fillcolor="#FFFFFF" filled="t" o:preferrelative="t" stroked="t" coordsize="21600,21600" o:gfxdata="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CXTKNMAAAAEAQAADwAA&#10;AAAAAAABACAAAAAiAAAAZHJzL2Rvd25yZXYueG1sUEsBAhQAFAAAAAgAh07iQDlIV/riAQAAoQMA&#10;AA4AAAAAAAAAAQAgAAAAIgEAAGRycy9lMm9Eb2MueG1sUEsFBgAAAAAGAAYAWQEAAHYFAAAAAA==&#10;">
                <v:path arrowok="t"/>
                <v:fill on="t" focussize="0,0"/>
                <v:stroke weight="1pt" color="#000000" color2="#FFFFFF" miterlimit="2"/>
                <v:imagedata gain="65536f" blacklevel="0f" gamma="0" o:title=""/>
                <o:lock v:ext="edit" position="f" selection="f" grouping="f" rotation="f" cropping="f" text="f" aspectratio="f"/>
              </v:shape>
            </w:pict>
          </mc:Fallback>
        </mc:AlternateContent>
      </w:r>
      <w:r>
        <w:rPr>
          <w:rFonts w:hint="eastAsia" w:ascii="仿宋" w:hAnsi="仿宋" w:eastAsia="仿宋" w:cs="仿宋"/>
          <w:kern w:val="2"/>
          <w:sz w:val="30"/>
          <w:szCs w:val="30"/>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34925</wp:posOffset>
                </wp:positionV>
                <wp:extent cx="5600700"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75pt;height:0.05pt;width:441pt;z-index:251658240;mso-width-relative:page;mso-height-relative:page;" fillcolor="#FFFFFF" filled="t" o:preferrelative="t" stroked="t" coordsize="21600,21600" o:gfxdata="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CXTKNMAAAAEAQAADwAA&#10;AAAAAAABACAAAAAiAAAAZHJzL2Rvd25yZXYueG1sUEsBAhQAFAAAAAgAh07iQH9jU/HiAQAAoQMA&#10;AA4AAAAAAAAAAQAgAAAAIgEAAGRycy9lMm9Eb2MueG1sUEsFBgAAAAAGAAYAWQEAAHYFAAAAAA==&#10;">
                <v:path arrowok="t"/>
                <v:fill on="t" focussize="0,0"/>
                <v:stroke weight="1pt" color="#000000" color2="#FFFFFF" miterlimit="2"/>
                <v:imagedata gain="65536f" blacklevel="0f" gamma="0" o:title=""/>
                <o:lock v:ext="edit" position="f" selection="f" grouping="f" rotation="f" cropping="f" text="f" aspectratio="f"/>
              </v:shape>
            </w:pict>
          </mc:Fallback>
        </mc:AlternateConten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41" w:right="1587" w:bottom="158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t>- 1 -</w:t>
                          </w:r>
                          <w:r>
                            <w:rPr>
                              <w:rFonts w:ascii="宋体" w:hAnsi="宋体" w:cs="宋体"/>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t>- 1 -</w:t>
                    </w:r>
                    <w:r>
                      <w:rPr>
                        <w:rFonts w:ascii="宋体" w:hAnsi="宋体" w:cs="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222BD"/>
    <w:rsid w:val="2ED2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b/>
      <w:kern w:val="44"/>
      <w:sz w:val="48"/>
      <w:szCs w:val="4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2020-05-07T08:31:00Z</dcterms:created>
  <dc:creator>薛珉</dc:creator>
  <cp:lastModifiedBy>薛珉</cp:lastModifiedBy>
  <dcterms:modified xsi:type="dcterms:W3CDTF">2020-05-07T08:32:39Z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